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BF74B" w14:textId="77777777" w:rsidR="00CA00AA" w:rsidRPr="00CA00AA" w:rsidRDefault="00CA00AA" w:rsidP="00DC3C98">
      <w:pPr>
        <w:pStyle w:val="Heading1"/>
        <w:rPr>
          <w:lang w:val="ru-RU"/>
        </w:rPr>
      </w:pPr>
    </w:p>
    <w:p w14:paraId="32444CA0" w14:textId="6AF7C5E0" w:rsidR="00927DBE" w:rsidRPr="00FB1603" w:rsidRDefault="00756522">
      <w:pPr>
        <w:spacing w:after="48" w:line="259" w:lineRule="auto"/>
        <w:ind w:right="12" w:firstLine="0"/>
        <w:jc w:val="center"/>
        <w:rPr>
          <w:sz w:val="24"/>
          <w:szCs w:val="24"/>
          <w:lang w:val="bg-BG"/>
        </w:rPr>
      </w:pPr>
      <w:r w:rsidRPr="00FB1603">
        <w:rPr>
          <w:b/>
          <w:sz w:val="24"/>
          <w:szCs w:val="24"/>
          <w:lang w:val="bg-BG"/>
        </w:rPr>
        <w:t>ПРАВИЛ</w:t>
      </w:r>
      <w:r w:rsidR="0001469D" w:rsidRPr="00FB1603">
        <w:rPr>
          <w:b/>
          <w:sz w:val="24"/>
          <w:szCs w:val="24"/>
          <w:lang w:val="bg-BG"/>
        </w:rPr>
        <w:t>А</w:t>
      </w:r>
      <w:r w:rsidRPr="00FB1603">
        <w:rPr>
          <w:b/>
          <w:sz w:val="24"/>
          <w:szCs w:val="24"/>
          <w:lang w:val="bg-BG"/>
        </w:rPr>
        <w:t xml:space="preserve"> </w:t>
      </w:r>
      <w:r w:rsidR="00D44F87" w:rsidRPr="00FB1603">
        <w:rPr>
          <w:b/>
          <w:sz w:val="24"/>
          <w:szCs w:val="24"/>
          <w:lang w:val="bg-BG"/>
        </w:rPr>
        <w:t>И КРИТЕРИИ</w:t>
      </w:r>
    </w:p>
    <w:p w14:paraId="013C682D" w14:textId="5E7F78CA" w:rsidR="00927DBE" w:rsidRPr="00FB1603" w:rsidRDefault="00D44F87">
      <w:pPr>
        <w:spacing w:after="31" w:line="259" w:lineRule="auto"/>
        <w:ind w:left="805" w:right="734" w:hanging="10"/>
        <w:jc w:val="center"/>
        <w:rPr>
          <w:b/>
          <w:sz w:val="24"/>
          <w:szCs w:val="24"/>
          <w:lang w:val="bg-BG"/>
        </w:rPr>
      </w:pPr>
      <w:bookmarkStart w:id="0" w:name="_Hlk109398696"/>
      <w:r w:rsidRPr="00FB1603">
        <w:rPr>
          <w:b/>
          <w:sz w:val="24"/>
          <w:szCs w:val="24"/>
          <w:lang w:val="bg-BG"/>
        </w:rPr>
        <w:t xml:space="preserve">за преразпределение на получените средства по Национална програма „Млади учени и постдокторанти -2“ в Икономически университет – Варна </w:t>
      </w:r>
    </w:p>
    <w:bookmarkEnd w:id="0"/>
    <w:p w14:paraId="057535DB" w14:textId="33822509" w:rsidR="00927DBE" w:rsidRPr="00FB1603" w:rsidRDefault="00756522">
      <w:pPr>
        <w:spacing w:after="0" w:line="259" w:lineRule="auto"/>
        <w:ind w:left="56" w:right="0" w:firstLine="0"/>
        <w:jc w:val="center"/>
        <w:rPr>
          <w:sz w:val="24"/>
          <w:szCs w:val="24"/>
          <w:lang w:val="ru-RU"/>
        </w:rPr>
      </w:pPr>
      <w:r w:rsidRPr="00FB1603">
        <w:rPr>
          <w:sz w:val="24"/>
          <w:szCs w:val="24"/>
          <w:lang w:val="ru-RU"/>
        </w:rPr>
        <w:t xml:space="preserve"> </w:t>
      </w:r>
    </w:p>
    <w:p w14:paraId="22D39041" w14:textId="77777777" w:rsidR="00BA6E52" w:rsidRPr="00FB1603" w:rsidRDefault="00BA6E52">
      <w:pPr>
        <w:spacing w:after="0" w:line="259" w:lineRule="auto"/>
        <w:ind w:left="56" w:right="0" w:firstLine="0"/>
        <w:jc w:val="center"/>
        <w:rPr>
          <w:sz w:val="24"/>
          <w:szCs w:val="24"/>
          <w:lang w:val="ru-RU"/>
        </w:rPr>
      </w:pPr>
    </w:p>
    <w:p w14:paraId="7C9FCC2D" w14:textId="77777777" w:rsidR="00927DBE" w:rsidRPr="00FB1603" w:rsidRDefault="00756522">
      <w:pPr>
        <w:spacing w:after="0" w:line="259" w:lineRule="auto"/>
        <w:ind w:left="56" w:right="0" w:firstLine="0"/>
        <w:jc w:val="center"/>
        <w:rPr>
          <w:sz w:val="24"/>
          <w:szCs w:val="24"/>
          <w:lang w:val="ru-RU"/>
        </w:rPr>
      </w:pPr>
      <w:r w:rsidRPr="00FB1603">
        <w:rPr>
          <w:sz w:val="24"/>
          <w:szCs w:val="24"/>
          <w:lang w:val="ru-RU"/>
        </w:rPr>
        <w:t xml:space="preserve"> </w:t>
      </w:r>
    </w:p>
    <w:p w14:paraId="1968D9D6" w14:textId="0D178BB2" w:rsidR="00927DBE" w:rsidRPr="00FB1603" w:rsidRDefault="00FB1603" w:rsidP="00FB1603">
      <w:pPr>
        <w:pStyle w:val="Heading1"/>
        <w:ind w:left="0" w:firstLine="567"/>
        <w:rPr>
          <w:sz w:val="24"/>
          <w:szCs w:val="24"/>
          <w:lang w:val="ru-RU"/>
        </w:rPr>
      </w:pPr>
      <w:r>
        <w:rPr>
          <w:sz w:val="24"/>
          <w:szCs w:val="24"/>
        </w:rPr>
        <w:t>I</w:t>
      </w:r>
      <w:r w:rsidR="00756522" w:rsidRPr="00FB1603">
        <w:rPr>
          <w:sz w:val="24"/>
          <w:szCs w:val="24"/>
          <w:lang w:val="ru-RU"/>
        </w:rPr>
        <w:t xml:space="preserve"> ОБЩИ ПОЛОЖЕНИЯ</w:t>
      </w:r>
      <w:r w:rsidR="00756522" w:rsidRPr="00FB1603">
        <w:rPr>
          <w:b w:val="0"/>
          <w:sz w:val="24"/>
          <w:szCs w:val="24"/>
          <w:lang w:val="ru-RU"/>
        </w:rPr>
        <w:t xml:space="preserve"> </w:t>
      </w:r>
    </w:p>
    <w:p w14:paraId="6679A827" w14:textId="0FDCDA0B" w:rsidR="00927DBE" w:rsidRPr="00FB1603" w:rsidRDefault="00927DBE" w:rsidP="00FB1603">
      <w:pPr>
        <w:spacing w:after="0" w:line="240" w:lineRule="auto"/>
        <w:ind w:right="0" w:firstLine="567"/>
        <w:jc w:val="left"/>
        <w:rPr>
          <w:sz w:val="24"/>
          <w:szCs w:val="24"/>
          <w:lang w:val="ru-RU"/>
        </w:rPr>
      </w:pPr>
    </w:p>
    <w:p w14:paraId="64926459" w14:textId="2544329F" w:rsidR="005725E5" w:rsidRPr="001C0739" w:rsidRDefault="00DF2B40" w:rsidP="00FB1603">
      <w:pPr>
        <w:spacing w:after="0" w:line="240" w:lineRule="auto"/>
        <w:ind w:right="0" w:firstLine="567"/>
        <w:rPr>
          <w:color w:val="000000" w:themeColor="text1"/>
          <w:sz w:val="24"/>
          <w:szCs w:val="24"/>
          <w:lang w:val="bg-BG"/>
        </w:rPr>
      </w:pPr>
      <w:r w:rsidRPr="001C0739">
        <w:rPr>
          <w:b/>
          <w:color w:val="000000" w:themeColor="text1"/>
          <w:sz w:val="24"/>
          <w:szCs w:val="24"/>
          <w:lang w:val="bg-BG"/>
        </w:rPr>
        <w:t>Чл.1</w:t>
      </w:r>
      <w:r w:rsidR="007F28D1" w:rsidRPr="001C0739">
        <w:rPr>
          <w:b/>
          <w:color w:val="000000" w:themeColor="text1"/>
          <w:sz w:val="24"/>
          <w:szCs w:val="24"/>
          <w:lang w:val="bg-BG"/>
        </w:rPr>
        <w:t xml:space="preserve">. </w:t>
      </w:r>
      <w:r w:rsidR="002F5A1A" w:rsidRPr="001C0739">
        <w:rPr>
          <w:color w:val="000000" w:themeColor="text1"/>
          <w:sz w:val="24"/>
          <w:szCs w:val="24"/>
          <w:lang w:val="bg-BG"/>
        </w:rPr>
        <w:t>Настоящи</w:t>
      </w:r>
      <w:r w:rsidR="00280B31" w:rsidRPr="001C0739">
        <w:rPr>
          <w:color w:val="000000" w:themeColor="text1"/>
          <w:sz w:val="24"/>
          <w:szCs w:val="24"/>
          <w:lang w:val="bg-BG"/>
        </w:rPr>
        <w:t>те</w:t>
      </w:r>
      <w:r w:rsidR="002F5A1A" w:rsidRPr="001C0739">
        <w:rPr>
          <w:color w:val="000000" w:themeColor="text1"/>
          <w:sz w:val="24"/>
          <w:szCs w:val="24"/>
          <w:lang w:val="bg-BG"/>
        </w:rPr>
        <w:t xml:space="preserve"> правил</w:t>
      </w:r>
      <w:r w:rsidR="00280B31" w:rsidRPr="001C0739">
        <w:rPr>
          <w:color w:val="000000" w:themeColor="text1"/>
          <w:sz w:val="24"/>
          <w:szCs w:val="24"/>
          <w:lang w:val="bg-BG"/>
        </w:rPr>
        <w:t>а</w:t>
      </w:r>
      <w:r w:rsidR="002F5A1A" w:rsidRPr="001C0739">
        <w:rPr>
          <w:color w:val="000000" w:themeColor="text1"/>
          <w:sz w:val="24"/>
          <w:szCs w:val="24"/>
          <w:lang w:val="bg-BG"/>
        </w:rPr>
        <w:t xml:space="preserve"> </w:t>
      </w:r>
      <w:r w:rsidR="00CE56C8" w:rsidRPr="001C0739">
        <w:rPr>
          <w:color w:val="000000" w:themeColor="text1"/>
          <w:sz w:val="24"/>
          <w:szCs w:val="24"/>
          <w:lang w:val="bg-BG"/>
        </w:rPr>
        <w:t xml:space="preserve">регламентират </w:t>
      </w:r>
      <w:r w:rsidR="002F5A1A" w:rsidRPr="001C0739">
        <w:rPr>
          <w:color w:val="000000" w:themeColor="text1"/>
          <w:sz w:val="24"/>
          <w:szCs w:val="24"/>
          <w:lang w:val="bg-BG"/>
        </w:rPr>
        <w:t xml:space="preserve">реда за </w:t>
      </w:r>
      <w:r w:rsidR="00D44F87" w:rsidRPr="001C0739">
        <w:rPr>
          <w:color w:val="000000" w:themeColor="text1"/>
          <w:sz w:val="24"/>
          <w:szCs w:val="24"/>
          <w:lang w:val="bg-BG"/>
        </w:rPr>
        <w:t xml:space="preserve">преразпределение на получените средства между структурните звена по </w:t>
      </w:r>
      <w:r w:rsidR="002F5A1A" w:rsidRPr="001C0739">
        <w:rPr>
          <w:color w:val="000000" w:themeColor="text1"/>
          <w:sz w:val="24"/>
          <w:szCs w:val="24"/>
          <w:lang w:val="bg-BG"/>
        </w:rPr>
        <w:t>Националната програма</w:t>
      </w:r>
      <w:r w:rsidR="00280B31" w:rsidRPr="001C0739">
        <w:rPr>
          <w:color w:val="000000" w:themeColor="text1"/>
          <w:sz w:val="24"/>
          <w:szCs w:val="24"/>
          <w:lang w:val="bg-BG"/>
        </w:rPr>
        <w:t xml:space="preserve"> </w:t>
      </w:r>
      <w:r w:rsidR="002F5A1A" w:rsidRPr="001C0739">
        <w:rPr>
          <w:color w:val="000000" w:themeColor="text1"/>
          <w:sz w:val="24"/>
          <w:szCs w:val="24"/>
          <w:lang w:val="bg-BG"/>
        </w:rPr>
        <w:t xml:space="preserve"> на Министерство на образованието и науката „Млади учени и </w:t>
      </w:r>
      <w:proofErr w:type="spellStart"/>
      <w:r w:rsidR="002F5A1A" w:rsidRPr="001C0739">
        <w:rPr>
          <w:color w:val="000000" w:themeColor="text1"/>
          <w:sz w:val="24"/>
          <w:szCs w:val="24"/>
          <w:lang w:val="bg-BG"/>
        </w:rPr>
        <w:t>постдокторанти</w:t>
      </w:r>
      <w:proofErr w:type="spellEnd"/>
      <w:r w:rsidR="002F5A1A" w:rsidRPr="001C0739">
        <w:rPr>
          <w:color w:val="000000" w:themeColor="text1"/>
          <w:sz w:val="24"/>
          <w:szCs w:val="24"/>
          <w:lang w:val="bg-BG"/>
        </w:rPr>
        <w:t xml:space="preserve"> - 2“</w:t>
      </w:r>
      <w:r w:rsidR="005725E5" w:rsidRPr="001C0739">
        <w:rPr>
          <w:color w:val="000000" w:themeColor="text1"/>
          <w:sz w:val="24"/>
          <w:szCs w:val="24"/>
          <w:lang w:val="bg-BG"/>
        </w:rPr>
        <w:t xml:space="preserve"> (НПМУПД</w:t>
      </w:r>
      <w:r w:rsidR="007F28D1" w:rsidRPr="001C0739">
        <w:rPr>
          <w:color w:val="000000" w:themeColor="text1"/>
          <w:sz w:val="24"/>
          <w:szCs w:val="24"/>
          <w:lang w:val="bg-BG"/>
        </w:rPr>
        <w:t>-2</w:t>
      </w:r>
      <w:r w:rsidR="005725E5" w:rsidRPr="001C0739">
        <w:rPr>
          <w:color w:val="000000" w:themeColor="text1"/>
          <w:sz w:val="24"/>
          <w:szCs w:val="24"/>
          <w:lang w:val="bg-BG"/>
        </w:rPr>
        <w:t>)</w:t>
      </w:r>
      <w:r w:rsidR="002F5A1A" w:rsidRPr="001C0739">
        <w:rPr>
          <w:color w:val="000000" w:themeColor="text1"/>
          <w:sz w:val="24"/>
          <w:szCs w:val="24"/>
          <w:lang w:val="bg-BG"/>
        </w:rPr>
        <w:t xml:space="preserve">, по която </w:t>
      </w:r>
      <w:r w:rsidR="00280B31" w:rsidRPr="001C0739">
        <w:rPr>
          <w:color w:val="000000" w:themeColor="text1"/>
          <w:sz w:val="24"/>
          <w:szCs w:val="24"/>
          <w:lang w:val="bg-BG"/>
        </w:rPr>
        <w:t>Икономически университет – Варна</w:t>
      </w:r>
      <w:r w:rsidR="00280B31" w:rsidRPr="001C0739">
        <w:rPr>
          <w:rFonts w:eastAsia="Calibri"/>
          <w:color w:val="000000" w:themeColor="text1"/>
          <w:sz w:val="24"/>
          <w:szCs w:val="24"/>
          <w:lang w:val="bg-BG"/>
        </w:rPr>
        <w:t xml:space="preserve"> </w:t>
      </w:r>
      <w:r w:rsidR="005C212F" w:rsidRPr="001C0739">
        <w:rPr>
          <w:rFonts w:eastAsia="Calibri"/>
          <w:color w:val="000000" w:themeColor="text1"/>
          <w:sz w:val="24"/>
          <w:szCs w:val="24"/>
          <w:lang w:val="bg-BG"/>
        </w:rPr>
        <w:t xml:space="preserve"> (ИУ-Варна)</w:t>
      </w:r>
      <w:r w:rsidR="001C0739">
        <w:rPr>
          <w:rFonts w:eastAsia="Calibri"/>
          <w:color w:val="000000" w:themeColor="text1"/>
          <w:sz w:val="24"/>
          <w:szCs w:val="24"/>
          <w:lang w:val="bg-BG"/>
        </w:rPr>
        <w:t xml:space="preserve"> </w:t>
      </w:r>
      <w:r w:rsidR="002F5A1A" w:rsidRPr="001C0739">
        <w:rPr>
          <w:color w:val="000000" w:themeColor="text1"/>
          <w:sz w:val="24"/>
          <w:szCs w:val="24"/>
          <w:lang w:val="bg-BG"/>
        </w:rPr>
        <w:t>е бенефициент</w:t>
      </w:r>
      <w:r w:rsidR="00867602" w:rsidRPr="001C0739">
        <w:rPr>
          <w:color w:val="000000" w:themeColor="text1"/>
          <w:sz w:val="24"/>
          <w:szCs w:val="24"/>
          <w:lang w:val="bg-BG"/>
        </w:rPr>
        <w:t>.</w:t>
      </w:r>
    </w:p>
    <w:p w14:paraId="3A442499" w14:textId="6D6FB2E5" w:rsidR="00605ABA" w:rsidRPr="001C0739" w:rsidRDefault="00DF2B40" w:rsidP="00FB1603">
      <w:pPr>
        <w:spacing w:after="0" w:line="240" w:lineRule="auto"/>
        <w:ind w:right="0" w:firstLine="567"/>
        <w:rPr>
          <w:color w:val="000000" w:themeColor="text1"/>
          <w:sz w:val="24"/>
          <w:szCs w:val="24"/>
          <w:lang w:val="bg-BG"/>
        </w:rPr>
      </w:pPr>
      <w:r w:rsidRPr="001C0739">
        <w:rPr>
          <w:b/>
          <w:color w:val="000000" w:themeColor="text1"/>
          <w:sz w:val="24"/>
          <w:szCs w:val="24"/>
          <w:lang w:val="bg-BG"/>
        </w:rPr>
        <w:t>Чл.2</w:t>
      </w:r>
      <w:r w:rsidRPr="001C0739">
        <w:rPr>
          <w:color w:val="000000" w:themeColor="text1"/>
          <w:sz w:val="24"/>
          <w:szCs w:val="24"/>
          <w:lang w:val="bg-BG"/>
        </w:rPr>
        <w:t xml:space="preserve"> </w:t>
      </w:r>
      <w:r w:rsidR="00D44F87" w:rsidRPr="001C0739">
        <w:rPr>
          <w:color w:val="000000" w:themeColor="text1"/>
          <w:sz w:val="24"/>
          <w:szCs w:val="24"/>
          <w:lang w:val="bg-BG"/>
        </w:rPr>
        <w:t>Националната програма е със срок на изпълнение юли 2022</w:t>
      </w:r>
      <w:r w:rsidR="00A00D17" w:rsidRPr="001C0739">
        <w:rPr>
          <w:color w:val="000000" w:themeColor="text1"/>
          <w:sz w:val="24"/>
          <w:szCs w:val="24"/>
          <w:lang w:val="bg-BG"/>
        </w:rPr>
        <w:t xml:space="preserve"> </w:t>
      </w:r>
      <w:r w:rsidR="00D44F87" w:rsidRPr="001C0739">
        <w:rPr>
          <w:color w:val="000000" w:themeColor="text1"/>
          <w:sz w:val="24"/>
          <w:szCs w:val="24"/>
          <w:lang w:val="bg-BG"/>
        </w:rPr>
        <w:t>г</w:t>
      </w:r>
      <w:r w:rsidR="004551FB" w:rsidRPr="001C0739">
        <w:rPr>
          <w:color w:val="000000" w:themeColor="text1"/>
          <w:sz w:val="24"/>
          <w:szCs w:val="24"/>
          <w:lang w:val="bg-BG"/>
        </w:rPr>
        <w:t>.</w:t>
      </w:r>
      <w:r w:rsidR="00D44F87" w:rsidRPr="001C0739">
        <w:rPr>
          <w:color w:val="000000" w:themeColor="text1"/>
          <w:sz w:val="24"/>
          <w:szCs w:val="24"/>
          <w:lang w:val="bg-BG"/>
        </w:rPr>
        <w:t xml:space="preserve"> – декември 2025</w:t>
      </w:r>
      <w:r w:rsidR="00A00D17" w:rsidRPr="001C0739">
        <w:rPr>
          <w:color w:val="000000" w:themeColor="text1"/>
          <w:sz w:val="24"/>
          <w:szCs w:val="24"/>
          <w:lang w:val="bg-BG"/>
        </w:rPr>
        <w:t xml:space="preserve"> </w:t>
      </w:r>
      <w:r w:rsidR="00D44F87" w:rsidRPr="001C0739">
        <w:rPr>
          <w:color w:val="000000" w:themeColor="text1"/>
          <w:sz w:val="24"/>
          <w:szCs w:val="24"/>
          <w:lang w:val="bg-BG"/>
        </w:rPr>
        <w:t xml:space="preserve">г. </w:t>
      </w:r>
      <w:r w:rsidR="00F85363" w:rsidRPr="001C0739">
        <w:rPr>
          <w:color w:val="000000" w:themeColor="text1"/>
          <w:sz w:val="24"/>
          <w:szCs w:val="24"/>
          <w:lang w:val="bg-BG"/>
        </w:rPr>
        <w:t>Програмният период</w:t>
      </w:r>
      <w:r w:rsidR="006C6A49" w:rsidRPr="001C0739">
        <w:rPr>
          <w:color w:val="000000" w:themeColor="text1"/>
          <w:sz w:val="24"/>
          <w:szCs w:val="24"/>
          <w:lang w:val="bg-BG"/>
        </w:rPr>
        <w:t xml:space="preserve"> е разделен</w:t>
      </w:r>
      <w:r w:rsidR="00226525" w:rsidRPr="001C0739">
        <w:rPr>
          <w:color w:val="000000" w:themeColor="text1"/>
          <w:sz w:val="24"/>
          <w:szCs w:val="24"/>
          <w:lang w:val="bg-BG"/>
        </w:rPr>
        <w:t xml:space="preserve"> на 2 етапа</w:t>
      </w:r>
      <w:r w:rsidR="00D44F87" w:rsidRPr="001C0739">
        <w:rPr>
          <w:color w:val="000000" w:themeColor="text1"/>
          <w:sz w:val="24"/>
          <w:szCs w:val="24"/>
          <w:lang w:val="bg-BG"/>
        </w:rPr>
        <w:t xml:space="preserve">, всеки от които е с продължителност </w:t>
      </w:r>
      <w:r w:rsidR="00226525" w:rsidRPr="001C0739">
        <w:rPr>
          <w:color w:val="000000" w:themeColor="text1"/>
          <w:sz w:val="24"/>
          <w:szCs w:val="24"/>
          <w:lang w:val="bg-BG"/>
        </w:rPr>
        <w:t>18 месеца</w:t>
      </w:r>
      <w:r w:rsidR="00C46B4E" w:rsidRPr="001C0739">
        <w:rPr>
          <w:color w:val="000000" w:themeColor="text1"/>
          <w:sz w:val="24"/>
          <w:szCs w:val="24"/>
          <w:lang w:val="bg-BG"/>
        </w:rPr>
        <w:t xml:space="preserve">. </w:t>
      </w:r>
      <w:r w:rsidR="00D22231" w:rsidRPr="001C0739">
        <w:rPr>
          <w:color w:val="000000" w:themeColor="text1"/>
          <w:sz w:val="24"/>
          <w:szCs w:val="24"/>
          <w:lang w:val="bg-BG"/>
        </w:rPr>
        <w:t xml:space="preserve"> </w:t>
      </w:r>
    </w:p>
    <w:p w14:paraId="36590D9D" w14:textId="4456B403" w:rsidR="005725E5" w:rsidRPr="001C0739" w:rsidRDefault="005C212F" w:rsidP="00FB1603">
      <w:pPr>
        <w:spacing w:after="0" w:line="240" w:lineRule="auto"/>
        <w:ind w:right="0" w:firstLine="567"/>
        <w:rPr>
          <w:color w:val="000000" w:themeColor="text1"/>
          <w:sz w:val="24"/>
          <w:szCs w:val="24"/>
          <w:lang w:val="bg-BG"/>
        </w:rPr>
      </w:pPr>
      <w:r w:rsidRPr="001C0739">
        <w:rPr>
          <w:b/>
          <w:color w:val="000000" w:themeColor="text1"/>
          <w:sz w:val="24"/>
          <w:szCs w:val="24"/>
          <w:lang w:val="bg-BG"/>
        </w:rPr>
        <w:t>(2)</w:t>
      </w:r>
      <w:r w:rsidRPr="001C0739">
        <w:rPr>
          <w:color w:val="000000" w:themeColor="text1"/>
          <w:sz w:val="24"/>
          <w:szCs w:val="24"/>
          <w:lang w:val="bg-BG"/>
        </w:rPr>
        <w:t xml:space="preserve"> Съгласно РМС №206/07.04.2022г. средствата разпределени за изпълнението на НПМУПД за ИУ-Варна</w:t>
      </w:r>
      <w:r w:rsidR="001C0739">
        <w:rPr>
          <w:color w:val="000000" w:themeColor="text1"/>
          <w:sz w:val="24"/>
          <w:szCs w:val="24"/>
          <w:lang w:val="bg-BG"/>
        </w:rPr>
        <w:t xml:space="preserve"> са</w:t>
      </w:r>
      <w:r w:rsidRPr="001C0739">
        <w:rPr>
          <w:color w:val="000000" w:themeColor="text1"/>
          <w:sz w:val="24"/>
          <w:szCs w:val="24"/>
          <w:lang w:val="bg-BG"/>
        </w:rPr>
        <w:t xml:space="preserve"> в размер на 93 052лв., или в размер на 46 526лв. за всеки един етап.</w:t>
      </w:r>
    </w:p>
    <w:p w14:paraId="12CAA7F4" w14:textId="4D449E0C" w:rsidR="008078A0" w:rsidRPr="001C0739" w:rsidRDefault="00DF2B40" w:rsidP="00FB1603">
      <w:pPr>
        <w:spacing w:after="0" w:line="240" w:lineRule="auto"/>
        <w:ind w:right="0" w:firstLine="567"/>
        <w:rPr>
          <w:color w:val="000000" w:themeColor="text1"/>
          <w:sz w:val="24"/>
          <w:szCs w:val="24"/>
          <w:lang w:val="bg-BG"/>
        </w:rPr>
      </w:pPr>
      <w:r w:rsidRPr="001C0739">
        <w:rPr>
          <w:b/>
          <w:color w:val="000000" w:themeColor="text1"/>
          <w:sz w:val="24"/>
          <w:szCs w:val="24"/>
          <w:lang w:val="bg-BG"/>
        </w:rPr>
        <w:t>Чл. 3</w:t>
      </w:r>
      <w:r w:rsidR="001C0739">
        <w:rPr>
          <w:b/>
          <w:color w:val="000000" w:themeColor="text1"/>
          <w:sz w:val="24"/>
          <w:szCs w:val="24"/>
          <w:lang w:val="bg-BG"/>
        </w:rPr>
        <w:t xml:space="preserve"> </w:t>
      </w:r>
      <w:r w:rsidR="00591336" w:rsidRPr="001C0739">
        <w:rPr>
          <w:b/>
          <w:color w:val="000000" w:themeColor="text1"/>
          <w:sz w:val="24"/>
          <w:szCs w:val="24"/>
          <w:lang w:val="bg-BG"/>
        </w:rPr>
        <w:t>(1)</w:t>
      </w:r>
      <w:r w:rsidRPr="001C0739">
        <w:rPr>
          <w:color w:val="000000" w:themeColor="text1"/>
          <w:sz w:val="24"/>
          <w:szCs w:val="24"/>
          <w:lang w:val="bg-BG"/>
        </w:rPr>
        <w:t xml:space="preserve"> </w:t>
      </w:r>
      <w:r w:rsidR="008078A0" w:rsidRPr="001C0739">
        <w:rPr>
          <w:color w:val="000000" w:themeColor="text1"/>
          <w:sz w:val="24"/>
          <w:szCs w:val="24"/>
          <w:lang w:val="bg-BG"/>
        </w:rPr>
        <w:t xml:space="preserve">Програмата </w:t>
      </w:r>
      <w:r w:rsidR="00D44F87" w:rsidRPr="001C0739">
        <w:rPr>
          <w:color w:val="000000" w:themeColor="text1"/>
          <w:sz w:val="24"/>
          <w:szCs w:val="24"/>
          <w:lang w:val="bg-BG"/>
        </w:rPr>
        <w:t>обхваща д</w:t>
      </w:r>
      <w:r w:rsidR="008078A0" w:rsidRPr="001C0739">
        <w:rPr>
          <w:color w:val="000000" w:themeColor="text1"/>
          <w:sz w:val="24"/>
          <w:szCs w:val="24"/>
          <w:lang w:val="bg-BG"/>
        </w:rPr>
        <w:t>ва модула – „Млад</w:t>
      </w:r>
      <w:r w:rsidR="00D44F87" w:rsidRPr="001C0739">
        <w:rPr>
          <w:color w:val="000000" w:themeColor="text1"/>
          <w:sz w:val="24"/>
          <w:szCs w:val="24"/>
          <w:lang w:val="bg-BG"/>
        </w:rPr>
        <w:t>и</w:t>
      </w:r>
      <w:r w:rsidR="008078A0" w:rsidRPr="001C0739">
        <w:rPr>
          <w:color w:val="000000" w:themeColor="text1"/>
          <w:sz w:val="24"/>
          <w:szCs w:val="24"/>
          <w:lang w:val="bg-BG"/>
        </w:rPr>
        <w:t xml:space="preserve"> учен</w:t>
      </w:r>
      <w:r w:rsidR="00D44F87" w:rsidRPr="001C0739">
        <w:rPr>
          <w:color w:val="000000" w:themeColor="text1"/>
          <w:sz w:val="24"/>
          <w:szCs w:val="24"/>
          <w:lang w:val="bg-BG"/>
        </w:rPr>
        <w:t>и</w:t>
      </w:r>
      <w:r w:rsidR="008078A0" w:rsidRPr="001C0739">
        <w:rPr>
          <w:color w:val="000000" w:themeColor="text1"/>
          <w:sz w:val="24"/>
          <w:szCs w:val="24"/>
          <w:lang w:val="bg-BG"/>
        </w:rPr>
        <w:t>“ и „</w:t>
      </w:r>
      <w:proofErr w:type="spellStart"/>
      <w:r w:rsidR="008078A0" w:rsidRPr="001C0739">
        <w:rPr>
          <w:color w:val="000000" w:themeColor="text1"/>
          <w:sz w:val="24"/>
          <w:szCs w:val="24"/>
          <w:lang w:val="bg-BG"/>
        </w:rPr>
        <w:t>Постдокторанти</w:t>
      </w:r>
      <w:proofErr w:type="spellEnd"/>
      <w:r w:rsidR="00D44F87" w:rsidRPr="001C0739">
        <w:rPr>
          <w:color w:val="000000" w:themeColor="text1"/>
          <w:sz w:val="24"/>
          <w:szCs w:val="24"/>
          <w:lang w:val="bg-BG"/>
        </w:rPr>
        <w:t>“</w:t>
      </w:r>
      <w:r w:rsidR="008078A0" w:rsidRPr="001C0739">
        <w:rPr>
          <w:color w:val="000000" w:themeColor="text1"/>
          <w:sz w:val="24"/>
          <w:szCs w:val="24"/>
          <w:lang w:val="bg-BG"/>
        </w:rPr>
        <w:t>.</w:t>
      </w:r>
      <w:r w:rsidR="00D44F87" w:rsidRPr="001C0739">
        <w:rPr>
          <w:color w:val="000000" w:themeColor="text1"/>
          <w:sz w:val="24"/>
          <w:szCs w:val="24"/>
          <w:lang w:val="bg-BG"/>
        </w:rPr>
        <w:t xml:space="preserve"> За целите на програмата:</w:t>
      </w:r>
    </w:p>
    <w:p w14:paraId="5D4AF946" w14:textId="6ED9BCB7" w:rsidR="00605ABA" w:rsidRPr="001C0739" w:rsidRDefault="00591336" w:rsidP="00FB1603">
      <w:pPr>
        <w:spacing w:after="0" w:line="240" w:lineRule="auto"/>
        <w:ind w:right="0" w:firstLine="567"/>
        <w:rPr>
          <w:sz w:val="24"/>
          <w:szCs w:val="24"/>
          <w:lang w:val="bg-BG"/>
        </w:rPr>
      </w:pPr>
      <w:r w:rsidRPr="001C0739">
        <w:rPr>
          <w:b/>
          <w:sz w:val="24"/>
          <w:szCs w:val="24"/>
          <w:lang w:val="bg-BG"/>
        </w:rPr>
        <w:t>(2)</w:t>
      </w:r>
      <w:r w:rsidRPr="001C0739">
        <w:rPr>
          <w:sz w:val="24"/>
          <w:szCs w:val="24"/>
          <w:lang w:val="bg-BG"/>
        </w:rPr>
        <w:t xml:space="preserve"> </w:t>
      </w:r>
      <w:r w:rsidR="00605ABA" w:rsidRPr="001C0739">
        <w:rPr>
          <w:sz w:val="24"/>
          <w:szCs w:val="24"/>
          <w:lang w:val="bg-BG"/>
        </w:rPr>
        <w:t xml:space="preserve">„Млад </w:t>
      </w:r>
      <w:r w:rsidR="005725E5" w:rsidRPr="001C0739">
        <w:rPr>
          <w:sz w:val="24"/>
          <w:szCs w:val="24"/>
          <w:lang w:val="bg-BG"/>
        </w:rPr>
        <w:t>учен “е</w:t>
      </w:r>
      <w:r w:rsidR="00605ABA" w:rsidRPr="001C0739">
        <w:rPr>
          <w:sz w:val="24"/>
          <w:szCs w:val="24"/>
          <w:lang w:val="bg-BG"/>
        </w:rPr>
        <w:t xml:space="preserve"> лице, което извършва научноизследователска и научно-образователна дейност във висше училище и/или научна организация след придобиване на първа образователно-квалификационна степен магистър, но не повече от 10 години след придобиването ѝ.</w:t>
      </w:r>
    </w:p>
    <w:p w14:paraId="38101FCB" w14:textId="398B5F55" w:rsidR="008C6883" w:rsidRPr="001C0739" w:rsidRDefault="00591336" w:rsidP="00FB1603">
      <w:pPr>
        <w:spacing w:after="0" w:line="240" w:lineRule="auto"/>
        <w:ind w:right="0" w:firstLine="567"/>
        <w:rPr>
          <w:color w:val="000000" w:themeColor="text1"/>
          <w:sz w:val="24"/>
          <w:szCs w:val="24"/>
          <w:lang w:val="bg-BG"/>
        </w:rPr>
      </w:pPr>
      <w:r w:rsidRPr="001C0739">
        <w:rPr>
          <w:b/>
          <w:sz w:val="24"/>
          <w:szCs w:val="24"/>
          <w:lang w:val="bg-BG"/>
        </w:rPr>
        <w:t>(</w:t>
      </w:r>
      <w:r w:rsidR="005725E5" w:rsidRPr="001C0739">
        <w:rPr>
          <w:b/>
          <w:sz w:val="24"/>
          <w:szCs w:val="24"/>
          <w:lang w:val="bg-BG"/>
        </w:rPr>
        <w:t>3)</w:t>
      </w:r>
      <w:r w:rsidR="005725E5" w:rsidRPr="001C0739">
        <w:rPr>
          <w:sz w:val="24"/>
          <w:szCs w:val="24"/>
          <w:lang w:val="bg-BG"/>
        </w:rPr>
        <w:t xml:space="preserve"> „</w:t>
      </w:r>
      <w:proofErr w:type="spellStart"/>
      <w:r w:rsidR="005725E5" w:rsidRPr="001C0739">
        <w:rPr>
          <w:sz w:val="24"/>
          <w:szCs w:val="24"/>
          <w:lang w:val="bg-BG"/>
        </w:rPr>
        <w:t>Постдокторант</w:t>
      </w:r>
      <w:proofErr w:type="spellEnd"/>
      <w:r w:rsidR="005725E5" w:rsidRPr="001C0739">
        <w:rPr>
          <w:sz w:val="24"/>
          <w:szCs w:val="24"/>
          <w:lang w:val="bg-BG"/>
        </w:rPr>
        <w:t>“ е</w:t>
      </w:r>
      <w:r w:rsidR="00605ABA" w:rsidRPr="001C0739">
        <w:rPr>
          <w:sz w:val="24"/>
          <w:szCs w:val="24"/>
          <w:lang w:val="bg-BG"/>
        </w:rPr>
        <w:t xml:space="preserve"> учен, който е придобил първа ОНС “доктор”, но не  преди повече от пет </w:t>
      </w:r>
      <w:r w:rsidR="00605ABA" w:rsidRPr="001C0739">
        <w:rPr>
          <w:color w:val="000000" w:themeColor="text1"/>
          <w:sz w:val="24"/>
          <w:szCs w:val="24"/>
          <w:lang w:val="bg-BG"/>
        </w:rPr>
        <w:t xml:space="preserve">години </w:t>
      </w:r>
      <w:r w:rsidR="00F85363" w:rsidRPr="001C0739">
        <w:rPr>
          <w:color w:val="000000" w:themeColor="text1"/>
          <w:sz w:val="24"/>
          <w:szCs w:val="24"/>
          <w:lang w:val="bg-BG"/>
        </w:rPr>
        <w:t>до момента на</w:t>
      </w:r>
      <w:r w:rsidR="00605ABA" w:rsidRPr="001C0739">
        <w:rPr>
          <w:color w:val="000000" w:themeColor="text1"/>
          <w:sz w:val="24"/>
          <w:szCs w:val="24"/>
          <w:lang w:val="bg-BG"/>
        </w:rPr>
        <w:t xml:space="preserve"> кандидатстването за програмата</w:t>
      </w:r>
      <w:r w:rsidR="00C46B4E" w:rsidRPr="001C0739">
        <w:rPr>
          <w:color w:val="000000" w:themeColor="text1"/>
          <w:sz w:val="24"/>
          <w:szCs w:val="24"/>
          <w:lang w:val="bg-BG"/>
        </w:rPr>
        <w:t xml:space="preserve">. </w:t>
      </w:r>
    </w:p>
    <w:p w14:paraId="5F00800E" w14:textId="7FC58318" w:rsidR="00A00D17" w:rsidRPr="001C0739" w:rsidRDefault="00DF2B40" w:rsidP="00FB1603">
      <w:pPr>
        <w:spacing w:after="0" w:line="240" w:lineRule="auto"/>
        <w:ind w:right="0" w:firstLine="567"/>
        <w:rPr>
          <w:color w:val="000000" w:themeColor="text1"/>
          <w:sz w:val="24"/>
          <w:szCs w:val="24"/>
          <w:lang w:val="bg-BG"/>
        </w:rPr>
      </w:pPr>
      <w:r w:rsidRPr="001C0739">
        <w:rPr>
          <w:b/>
          <w:color w:val="000000" w:themeColor="text1"/>
          <w:sz w:val="24"/>
          <w:szCs w:val="24"/>
          <w:lang w:val="bg-BG"/>
        </w:rPr>
        <w:t>Чл. 4</w:t>
      </w:r>
      <w:r w:rsidRPr="001C0739">
        <w:rPr>
          <w:color w:val="000000" w:themeColor="text1"/>
          <w:sz w:val="24"/>
          <w:szCs w:val="24"/>
          <w:lang w:val="bg-BG"/>
        </w:rPr>
        <w:t xml:space="preserve"> </w:t>
      </w:r>
      <w:r w:rsidR="005725E5" w:rsidRPr="001C0739">
        <w:rPr>
          <w:color w:val="000000" w:themeColor="text1"/>
          <w:sz w:val="24"/>
          <w:szCs w:val="24"/>
          <w:lang w:val="bg-BG"/>
        </w:rPr>
        <w:t>У</w:t>
      </w:r>
      <w:r w:rsidR="00340782" w:rsidRPr="001C0739">
        <w:rPr>
          <w:color w:val="000000" w:themeColor="text1"/>
          <w:sz w:val="24"/>
          <w:szCs w:val="24"/>
          <w:lang w:val="bg-BG"/>
        </w:rPr>
        <w:t>частници</w:t>
      </w:r>
      <w:r w:rsidR="005C212F" w:rsidRPr="001C0739">
        <w:rPr>
          <w:color w:val="000000" w:themeColor="text1"/>
          <w:sz w:val="24"/>
          <w:szCs w:val="24"/>
          <w:lang w:val="bg-BG"/>
        </w:rPr>
        <w:t>те</w:t>
      </w:r>
      <w:r w:rsidR="00340782" w:rsidRPr="001C0739">
        <w:rPr>
          <w:color w:val="000000" w:themeColor="text1"/>
          <w:sz w:val="24"/>
          <w:szCs w:val="24"/>
          <w:lang w:val="bg-BG"/>
        </w:rPr>
        <w:t xml:space="preserve"> в трябва да </w:t>
      </w:r>
      <w:r w:rsidR="005C212F" w:rsidRPr="001C0739">
        <w:rPr>
          <w:color w:val="000000" w:themeColor="text1"/>
          <w:sz w:val="24"/>
          <w:szCs w:val="24"/>
          <w:lang w:val="bg-BG"/>
        </w:rPr>
        <w:t xml:space="preserve">отговарят на </w:t>
      </w:r>
      <w:r w:rsidR="00340782" w:rsidRPr="001C0739">
        <w:rPr>
          <w:color w:val="000000" w:themeColor="text1"/>
          <w:sz w:val="24"/>
          <w:szCs w:val="24"/>
          <w:lang w:val="bg-BG"/>
        </w:rPr>
        <w:t>изискванията за допустимост</w:t>
      </w:r>
      <w:r w:rsidR="005C212F" w:rsidRPr="001C0739">
        <w:rPr>
          <w:color w:val="000000" w:themeColor="text1"/>
          <w:sz w:val="24"/>
          <w:szCs w:val="24"/>
          <w:lang w:val="bg-BG"/>
        </w:rPr>
        <w:t xml:space="preserve"> </w:t>
      </w:r>
      <w:r w:rsidR="0039306D" w:rsidRPr="001C0739">
        <w:rPr>
          <w:color w:val="000000" w:themeColor="text1"/>
          <w:sz w:val="24"/>
          <w:szCs w:val="24"/>
          <w:lang w:val="bg-BG"/>
        </w:rPr>
        <w:t>по</w:t>
      </w:r>
      <w:r w:rsidR="005C212F" w:rsidRPr="001C0739">
        <w:rPr>
          <w:color w:val="000000" w:themeColor="text1"/>
          <w:sz w:val="24"/>
          <w:szCs w:val="24"/>
          <w:lang w:val="bg-BG"/>
        </w:rPr>
        <w:t xml:space="preserve"> съответния модул</w:t>
      </w:r>
      <w:r w:rsidR="00340782" w:rsidRPr="001C0739">
        <w:rPr>
          <w:color w:val="000000" w:themeColor="text1"/>
          <w:sz w:val="24"/>
          <w:szCs w:val="24"/>
          <w:lang w:val="bg-BG"/>
        </w:rPr>
        <w:t xml:space="preserve"> </w:t>
      </w:r>
      <w:r w:rsidR="005C212F" w:rsidRPr="001C0739">
        <w:rPr>
          <w:color w:val="000000" w:themeColor="text1"/>
          <w:sz w:val="24"/>
          <w:szCs w:val="24"/>
          <w:lang w:val="bg-BG"/>
        </w:rPr>
        <w:t>за целия период на участието си в НПМУПД</w:t>
      </w:r>
      <w:r w:rsidR="007F28D1" w:rsidRPr="001C0739">
        <w:rPr>
          <w:color w:val="000000" w:themeColor="text1"/>
          <w:sz w:val="24"/>
          <w:szCs w:val="24"/>
          <w:lang w:val="bg-BG"/>
        </w:rPr>
        <w:t>-2</w:t>
      </w:r>
      <w:r w:rsidR="005C212F" w:rsidRPr="001C0739">
        <w:rPr>
          <w:color w:val="000000" w:themeColor="text1"/>
          <w:sz w:val="24"/>
          <w:szCs w:val="24"/>
          <w:lang w:val="bg-BG"/>
        </w:rPr>
        <w:t>.</w:t>
      </w:r>
    </w:p>
    <w:p w14:paraId="66A4E620" w14:textId="77777777" w:rsidR="00A00D17" w:rsidRPr="001C0739" w:rsidRDefault="00A00D17" w:rsidP="00FB1603">
      <w:pPr>
        <w:spacing w:after="0" w:line="240" w:lineRule="auto"/>
        <w:ind w:right="0" w:firstLine="567"/>
        <w:rPr>
          <w:sz w:val="24"/>
          <w:szCs w:val="24"/>
          <w:lang w:val="bg-BG"/>
        </w:rPr>
      </w:pPr>
    </w:p>
    <w:p w14:paraId="041A4B0B" w14:textId="783161B2" w:rsidR="00A00D17" w:rsidRPr="001C0739" w:rsidRDefault="00FB1603" w:rsidP="00FB1603">
      <w:pPr>
        <w:spacing w:after="0" w:line="240" w:lineRule="auto"/>
        <w:ind w:right="0" w:firstLine="567"/>
        <w:rPr>
          <w:b/>
          <w:color w:val="auto"/>
          <w:sz w:val="24"/>
          <w:szCs w:val="24"/>
          <w:lang w:val="bg-BG"/>
        </w:rPr>
      </w:pPr>
      <w:r w:rsidRPr="001C0739">
        <w:rPr>
          <w:b/>
          <w:sz w:val="24"/>
          <w:szCs w:val="24"/>
          <w:lang w:val="bg-BG"/>
        </w:rPr>
        <w:t>II.</w:t>
      </w:r>
      <w:r w:rsidR="002F5A1A" w:rsidRPr="001C0739">
        <w:rPr>
          <w:b/>
          <w:sz w:val="24"/>
          <w:szCs w:val="24"/>
          <w:lang w:val="bg-BG"/>
        </w:rPr>
        <w:t xml:space="preserve"> </w:t>
      </w:r>
      <w:r w:rsidR="00A00D17" w:rsidRPr="001C0739">
        <w:rPr>
          <w:b/>
          <w:sz w:val="24"/>
          <w:szCs w:val="24"/>
          <w:lang w:val="bg-BG"/>
        </w:rPr>
        <w:t xml:space="preserve">РАЗПРЕДЕЛЕНИЕ НА СРЕДСТВАТА ПО </w:t>
      </w:r>
      <w:r w:rsidR="002F5A1A" w:rsidRPr="001C0739">
        <w:rPr>
          <w:b/>
          <w:sz w:val="24"/>
          <w:szCs w:val="24"/>
          <w:lang w:val="bg-BG"/>
        </w:rPr>
        <w:t xml:space="preserve">ПРОГРАМАТА И КАНДИДАТСТВАНЕ </w:t>
      </w:r>
    </w:p>
    <w:p w14:paraId="2DC6CBC9" w14:textId="15C6B823" w:rsidR="00A00D17" w:rsidRPr="001C0739" w:rsidRDefault="00DF2B40" w:rsidP="007F28D1">
      <w:pPr>
        <w:spacing w:after="0" w:line="240" w:lineRule="auto"/>
        <w:ind w:right="0" w:firstLine="567"/>
        <w:rPr>
          <w:color w:val="000000" w:themeColor="text1"/>
          <w:sz w:val="24"/>
          <w:szCs w:val="24"/>
          <w:lang w:val="bg-BG"/>
        </w:rPr>
      </w:pPr>
      <w:r w:rsidRPr="001C0739">
        <w:rPr>
          <w:b/>
          <w:color w:val="000000" w:themeColor="text1"/>
          <w:sz w:val="24"/>
          <w:szCs w:val="24"/>
          <w:lang w:val="bg-BG"/>
        </w:rPr>
        <w:t>Чл.</w:t>
      </w:r>
      <w:r w:rsidR="00A37556" w:rsidRPr="001C0739">
        <w:rPr>
          <w:b/>
          <w:color w:val="000000" w:themeColor="text1"/>
          <w:sz w:val="24"/>
          <w:szCs w:val="24"/>
          <w:lang w:val="bg-BG"/>
        </w:rPr>
        <w:t>5</w:t>
      </w:r>
      <w:r w:rsidRPr="001C0739">
        <w:rPr>
          <w:color w:val="000000" w:themeColor="text1"/>
          <w:sz w:val="24"/>
          <w:szCs w:val="24"/>
          <w:lang w:val="bg-BG"/>
        </w:rPr>
        <w:t xml:space="preserve"> </w:t>
      </w:r>
      <w:r w:rsidR="007F28D1" w:rsidRPr="001C0739">
        <w:rPr>
          <w:b/>
          <w:color w:val="000000" w:themeColor="text1"/>
          <w:sz w:val="24"/>
          <w:szCs w:val="24"/>
          <w:lang w:val="bg-BG"/>
        </w:rPr>
        <w:t>(1)</w:t>
      </w:r>
      <w:r w:rsidR="007F28D1" w:rsidRPr="001C0739">
        <w:rPr>
          <w:color w:val="000000" w:themeColor="text1"/>
          <w:sz w:val="24"/>
          <w:szCs w:val="24"/>
          <w:lang w:val="bg-BG"/>
        </w:rPr>
        <w:t xml:space="preserve"> </w:t>
      </w:r>
      <w:r w:rsidR="005C212F" w:rsidRPr="001C0739">
        <w:rPr>
          <w:color w:val="000000" w:themeColor="text1"/>
          <w:sz w:val="24"/>
          <w:szCs w:val="24"/>
          <w:lang w:val="bg-BG"/>
        </w:rPr>
        <w:t>Раз</w:t>
      </w:r>
      <w:r w:rsidR="00D6483C" w:rsidRPr="001C0739">
        <w:rPr>
          <w:color w:val="000000" w:themeColor="text1"/>
          <w:sz w:val="24"/>
          <w:szCs w:val="24"/>
          <w:lang w:val="bg-BG"/>
        </w:rPr>
        <w:t xml:space="preserve">пределението на средствата по НПМУПД се извършва от Комисия назначена със заповед на ректора. </w:t>
      </w:r>
    </w:p>
    <w:p w14:paraId="3E00F620" w14:textId="7BC43969" w:rsidR="00A00D17" w:rsidRPr="001C0739" w:rsidRDefault="00D6483C" w:rsidP="00FB1603">
      <w:pPr>
        <w:spacing w:after="0" w:line="259" w:lineRule="auto"/>
        <w:ind w:right="0" w:firstLine="567"/>
        <w:rPr>
          <w:color w:val="000000" w:themeColor="text1"/>
          <w:sz w:val="24"/>
          <w:szCs w:val="24"/>
          <w:lang w:val="bg-BG"/>
        </w:rPr>
      </w:pPr>
      <w:r w:rsidRPr="001C0739">
        <w:rPr>
          <w:b/>
          <w:color w:val="000000" w:themeColor="text1"/>
          <w:sz w:val="24"/>
          <w:szCs w:val="24"/>
          <w:lang w:val="bg-BG"/>
        </w:rPr>
        <w:t>(2)</w:t>
      </w:r>
      <w:r w:rsidRPr="001C0739">
        <w:rPr>
          <w:color w:val="000000" w:themeColor="text1"/>
          <w:sz w:val="24"/>
          <w:szCs w:val="24"/>
          <w:lang w:val="bg-BG"/>
        </w:rPr>
        <w:t xml:space="preserve"> В състава на</w:t>
      </w:r>
      <w:r w:rsidR="00A00D17" w:rsidRPr="001C0739">
        <w:rPr>
          <w:color w:val="000000" w:themeColor="text1"/>
          <w:sz w:val="24"/>
          <w:szCs w:val="24"/>
          <w:lang w:val="bg-BG"/>
        </w:rPr>
        <w:t xml:space="preserve"> </w:t>
      </w:r>
      <w:r w:rsidRPr="001C0739">
        <w:rPr>
          <w:color w:val="000000" w:themeColor="text1"/>
          <w:sz w:val="24"/>
          <w:szCs w:val="24"/>
          <w:lang w:val="bg-BG"/>
        </w:rPr>
        <w:t>Комисията се</w:t>
      </w:r>
      <w:r w:rsidR="00A00D17" w:rsidRPr="001C0739">
        <w:rPr>
          <w:color w:val="000000" w:themeColor="text1"/>
          <w:sz w:val="24"/>
          <w:szCs w:val="24"/>
          <w:lang w:val="bg-BG"/>
        </w:rPr>
        <w:t xml:space="preserve"> включ</w:t>
      </w:r>
      <w:r w:rsidRPr="001C0739">
        <w:rPr>
          <w:color w:val="000000" w:themeColor="text1"/>
          <w:sz w:val="24"/>
          <w:szCs w:val="24"/>
          <w:lang w:val="bg-BG"/>
        </w:rPr>
        <w:t>ват</w:t>
      </w:r>
      <w:r w:rsidR="00A00D17" w:rsidRPr="001C0739">
        <w:rPr>
          <w:color w:val="000000" w:themeColor="text1"/>
          <w:sz w:val="24"/>
          <w:szCs w:val="24"/>
          <w:lang w:val="bg-BG"/>
        </w:rPr>
        <w:t xml:space="preserve"> </w:t>
      </w:r>
      <w:r w:rsidR="00D455E0" w:rsidRPr="001C0739">
        <w:rPr>
          <w:color w:val="000000" w:themeColor="text1"/>
          <w:sz w:val="24"/>
          <w:szCs w:val="24"/>
          <w:lang w:val="bg-BG"/>
        </w:rPr>
        <w:t>по един</w:t>
      </w:r>
      <w:r w:rsidR="00A00D17" w:rsidRPr="001C0739">
        <w:rPr>
          <w:color w:val="000000" w:themeColor="text1"/>
          <w:sz w:val="24"/>
          <w:szCs w:val="24"/>
          <w:lang w:val="bg-BG"/>
        </w:rPr>
        <w:t xml:space="preserve"> млад учен</w:t>
      </w:r>
      <w:r w:rsidRPr="001C0739">
        <w:rPr>
          <w:color w:val="000000" w:themeColor="text1"/>
          <w:sz w:val="24"/>
          <w:szCs w:val="24"/>
          <w:lang w:val="bg-BG"/>
        </w:rPr>
        <w:t xml:space="preserve"> </w:t>
      </w:r>
      <w:r w:rsidR="00A00D17" w:rsidRPr="001C0739">
        <w:rPr>
          <w:color w:val="000000" w:themeColor="text1"/>
          <w:sz w:val="24"/>
          <w:szCs w:val="24"/>
          <w:lang w:val="bg-BG"/>
        </w:rPr>
        <w:t xml:space="preserve">и </w:t>
      </w:r>
      <w:r w:rsidR="00D455E0" w:rsidRPr="001C0739">
        <w:rPr>
          <w:color w:val="000000" w:themeColor="text1"/>
          <w:sz w:val="24"/>
          <w:szCs w:val="24"/>
          <w:lang w:val="bg-BG"/>
        </w:rPr>
        <w:t xml:space="preserve">един </w:t>
      </w:r>
      <w:proofErr w:type="spellStart"/>
      <w:r w:rsidR="00A00D17" w:rsidRPr="00F87937">
        <w:rPr>
          <w:color w:val="000000" w:themeColor="text1"/>
          <w:sz w:val="24"/>
          <w:szCs w:val="24"/>
          <w:lang w:val="bg-BG"/>
        </w:rPr>
        <w:t>постдокторант</w:t>
      </w:r>
      <w:proofErr w:type="spellEnd"/>
      <w:r w:rsidR="001C0739" w:rsidRPr="00F87937">
        <w:rPr>
          <w:color w:val="000000" w:themeColor="text1"/>
          <w:sz w:val="24"/>
          <w:szCs w:val="24"/>
          <w:lang w:val="bg-BG"/>
        </w:rPr>
        <w:t xml:space="preserve"> от други Висши училища в съответствие с указанията за изпълнение на националната програма „Млади учени и </w:t>
      </w:r>
      <w:proofErr w:type="spellStart"/>
      <w:r w:rsidR="001C0739" w:rsidRPr="00F87937">
        <w:rPr>
          <w:color w:val="000000" w:themeColor="text1"/>
          <w:sz w:val="24"/>
          <w:szCs w:val="24"/>
          <w:lang w:val="bg-BG"/>
        </w:rPr>
        <w:t>постдокторанти</w:t>
      </w:r>
      <w:proofErr w:type="spellEnd"/>
      <w:r w:rsidR="001C0739" w:rsidRPr="00F87937">
        <w:rPr>
          <w:color w:val="000000" w:themeColor="text1"/>
          <w:sz w:val="24"/>
          <w:szCs w:val="24"/>
          <w:lang w:val="bg-BG"/>
        </w:rPr>
        <w:t xml:space="preserve"> - 2“ </w:t>
      </w:r>
      <w:r w:rsidR="00A00D17" w:rsidRPr="00F87937">
        <w:rPr>
          <w:color w:val="000000" w:themeColor="text1"/>
          <w:sz w:val="24"/>
          <w:szCs w:val="24"/>
          <w:lang w:val="bg-BG"/>
        </w:rPr>
        <w:t>.</w:t>
      </w:r>
    </w:p>
    <w:p w14:paraId="7CD2247F" w14:textId="511FCB01" w:rsidR="00A00D17" w:rsidRPr="001C0739" w:rsidRDefault="00A00D17" w:rsidP="00FB1603">
      <w:pPr>
        <w:spacing w:after="0" w:line="259" w:lineRule="auto"/>
        <w:ind w:right="0" w:firstLine="567"/>
        <w:rPr>
          <w:color w:val="000000" w:themeColor="text1"/>
          <w:sz w:val="24"/>
          <w:szCs w:val="24"/>
          <w:lang w:val="bg-BG"/>
        </w:rPr>
      </w:pPr>
      <w:r w:rsidRPr="001C0739">
        <w:rPr>
          <w:b/>
          <w:color w:val="000000" w:themeColor="text1"/>
          <w:sz w:val="24"/>
          <w:szCs w:val="24"/>
          <w:lang w:val="bg-BG"/>
        </w:rPr>
        <w:t>(</w:t>
      </w:r>
      <w:r w:rsidR="00D455E0" w:rsidRPr="001C0739">
        <w:rPr>
          <w:b/>
          <w:color w:val="000000" w:themeColor="text1"/>
          <w:sz w:val="24"/>
          <w:szCs w:val="24"/>
          <w:lang w:val="bg-BG"/>
        </w:rPr>
        <w:t>3</w:t>
      </w:r>
      <w:r w:rsidRPr="001C0739">
        <w:rPr>
          <w:b/>
          <w:color w:val="000000" w:themeColor="text1"/>
          <w:sz w:val="24"/>
          <w:szCs w:val="24"/>
          <w:lang w:val="bg-BG"/>
        </w:rPr>
        <w:t>)</w:t>
      </w:r>
      <w:r w:rsidRPr="001C0739">
        <w:rPr>
          <w:color w:val="000000" w:themeColor="text1"/>
          <w:sz w:val="24"/>
          <w:szCs w:val="24"/>
          <w:lang w:val="bg-BG"/>
        </w:rPr>
        <w:t xml:space="preserve"> </w:t>
      </w:r>
      <w:r w:rsidR="00D455E0" w:rsidRPr="001C0739">
        <w:rPr>
          <w:color w:val="000000" w:themeColor="text1"/>
          <w:sz w:val="24"/>
          <w:szCs w:val="24"/>
          <w:lang w:val="bg-BG"/>
        </w:rPr>
        <w:t>За всяко заседание на Комисията се води протокол.</w:t>
      </w:r>
    </w:p>
    <w:p w14:paraId="107D322B" w14:textId="09897755" w:rsidR="00D455E0" w:rsidRPr="001C0739" w:rsidRDefault="00D455E0" w:rsidP="00FB1603">
      <w:pPr>
        <w:spacing w:after="0" w:line="259" w:lineRule="auto"/>
        <w:ind w:right="0" w:firstLine="567"/>
        <w:rPr>
          <w:color w:val="000000" w:themeColor="text1"/>
          <w:sz w:val="24"/>
          <w:szCs w:val="24"/>
          <w:lang w:val="bg-BG"/>
        </w:rPr>
      </w:pPr>
      <w:r w:rsidRPr="001C0739">
        <w:rPr>
          <w:b/>
          <w:color w:val="000000" w:themeColor="text1"/>
          <w:sz w:val="24"/>
          <w:szCs w:val="24"/>
          <w:lang w:val="bg-BG"/>
        </w:rPr>
        <w:t>(4)</w:t>
      </w:r>
      <w:r w:rsidRPr="001C0739">
        <w:rPr>
          <w:color w:val="000000" w:themeColor="text1"/>
          <w:sz w:val="24"/>
          <w:szCs w:val="24"/>
          <w:lang w:val="bg-BG"/>
        </w:rPr>
        <w:t xml:space="preserve"> Решенията на Комисията се утвърждават от Академичния съвет</w:t>
      </w:r>
    </w:p>
    <w:p w14:paraId="3CC6FB92" w14:textId="0C48B0A7" w:rsidR="00E02DF6" w:rsidRPr="001C0739" w:rsidRDefault="00D455E0" w:rsidP="00FB1603">
      <w:pPr>
        <w:spacing w:after="0" w:line="259" w:lineRule="auto"/>
        <w:ind w:right="0" w:firstLine="567"/>
        <w:rPr>
          <w:color w:val="auto"/>
          <w:sz w:val="24"/>
          <w:szCs w:val="24"/>
          <w:lang w:val="bg-BG"/>
        </w:rPr>
      </w:pPr>
      <w:r w:rsidRPr="001C0739">
        <w:rPr>
          <w:b/>
          <w:color w:val="auto"/>
          <w:sz w:val="24"/>
          <w:szCs w:val="24"/>
          <w:lang w:val="bg-BG"/>
        </w:rPr>
        <w:t xml:space="preserve">Чл. </w:t>
      </w:r>
      <w:r w:rsidR="00A37556" w:rsidRPr="001C0739">
        <w:rPr>
          <w:b/>
          <w:color w:val="auto"/>
          <w:sz w:val="24"/>
          <w:szCs w:val="24"/>
          <w:lang w:val="bg-BG"/>
        </w:rPr>
        <w:t>6</w:t>
      </w:r>
      <w:r w:rsidR="001C0739">
        <w:rPr>
          <w:b/>
          <w:color w:val="auto"/>
          <w:sz w:val="24"/>
          <w:szCs w:val="24"/>
          <w:lang w:val="bg-BG"/>
        </w:rPr>
        <w:t xml:space="preserve"> </w:t>
      </w:r>
      <w:r w:rsidR="00A00D17" w:rsidRPr="001C0739">
        <w:rPr>
          <w:color w:val="auto"/>
          <w:sz w:val="24"/>
          <w:szCs w:val="24"/>
          <w:lang w:val="bg-BG"/>
        </w:rPr>
        <w:t>Ос</w:t>
      </w:r>
      <w:r w:rsidR="001C0739">
        <w:rPr>
          <w:color w:val="auto"/>
          <w:sz w:val="24"/>
          <w:szCs w:val="24"/>
          <w:lang w:val="bg-BG"/>
        </w:rPr>
        <w:t>новните дейности извършвани от К</w:t>
      </w:r>
      <w:r w:rsidR="00A00D17" w:rsidRPr="001C0739">
        <w:rPr>
          <w:color w:val="auto"/>
          <w:sz w:val="24"/>
          <w:szCs w:val="24"/>
          <w:lang w:val="bg-BG"/>
        </w:rPr>
        <w:t>омисията са</w:t>
      </w:r>
      <w:r w:rsidR="00DB580B" w:rsidRPr="001C0739">
        <w:rPr>
          <w:color w:val="auto"/>
          <w:sz w:val="24"/>
          <w:szCs w:val="24"/>
          <w:lang w:val="bg-BG"/>
        </w:rPr>
        <w:t>:</w:t>
      </w:r>
    </w:p>
    <w:p w14:paraId="28689A99" w14:textId="3162CC9D" w:rsidR="00A00D17" w:rsidRPr="001C0739" w:rsidRDefault="001C0739" w:rsidP="00FB1603">
      <w:pPr>
        <w:spacing w:after="0" w:line="259" w:lineRule="auto"/>
        <w:ind w:right="0" w:firstLine="567"/>
        <w:rPr>
          <w:color w:val="auto"/>
          <w:sz w:val="24"/>
          <w:szCs w:val="24"/>
          <w:lang w:val="bg-BG"/>
        </w:rPr>
      </w:pPr>
      <w:r>
        <w:rPr>
          <w:b/>
          <w:color w:val="auto"/>
          <w:sz w:val="24"/>
          <w:szCs w:val="24"/>
          <w:lang w:val="bg-BG"/>
        </w:rPr>
        <w:t xml:space="preserve">1. </w:t>
      </w:r>
      <w:r w:rsidR="00A00D17" w:rsidRPr="001C0739">
        <w:rPr>
          <w:color w:val="auto"/>
          <w:sz w:val="24"/>
          <w:szCs w:val="24"/>
          <w:lang w:val="bg-BG"/>
        </w:rPr>
        <w:t>Изготвя правила и определя критерии за преразпределение на получените средства по Национална програма</w:t>
      </w:r>
      <w:r w:rsidR="00D455E0" w:rsidRPr="001C0739">
        <w:rPr>
          <w:color w:val="auto"/>
          <w:sz w:val="24"/>
          <w:szCs w:val="24"/>
          <w:lang w:val="bg-BG"/>
        </w:rPr>
        <w:t>.</w:t>
      </w:r>
    </w:p>
    <w:p w14:paraId="6B3EEEC6" w14:textId="03D4DABB" w:rsidR="00D455E0" w:rsidRPr="001C0739" w:rsidRDefault="001C0739" w:rsidP="00FB1603">
      <w:pPr>
        <w:spacing w:after="0" w:line="259" w:lineRule="auto"/>
        <w:ind w:right="0" w:firstLine="567"/>
        <w:rPr>
          <w:color w:val="000000" w:themeColor="text1"/>
          <w:sz w:val="24"/>
          <w:szCs w:val="24"/>
          <w:lang w:val="bg-BG"/>
        </w:rPr>
      </w:pPr>
      <w:r w:rsidRPr="00F87937">
        <w:rPr>
          <w:b/>
          <w:color w:val="000000" w:themeColor="text1"/>
          <w:sz w:val="24"/>
          <w:szCs w:val="24"/>
          <w:lang w:val="bg-BG"/>
        </w:rPr>
        <w:t>2.</w:t>
      </w:r>
      <w:r w:rsidR="00D455E0" w:rsidRPr="00F87937">
        <w:rPr>
          <w:color w:val="000000" w:themeColor="text1"/>
          <w:sz w:val="24"/>
          <w:szCs w:val="24"/>
          <w:lang w:val="bg-BG"/>
        </w:rPr>
        <w:t xml:space="preserve"> Изготвя</w:t>
      </w:r>
      <w:r w:rsidR="00EF6836" w:rsidRPr="00F87937">
        <w:rPr>
          <w:color w:val="000000" w:themeColor="text1"/>
          <w:sz w:val="24"/>
          <w:szCs w:val="24"/>
          <w:lang w:val="bg-BG"/>
        </w:rPr>
        <w:t xml:space="preserve"> механизъм и</w:t>
      </w:r>
      <w:r w:rsidR="00614559" w:rsidRPr="00F87937">
        <w:rPr>
          <w:color w:val="000000" w:themeColor="text1"/>
          <w:sz w:val="24"/>
          <w:szCs w:val="24"/>
          <w:lang w:val="bg-BG"/>
        </w:rPr>
        <w:t xml:space="preserve"> п</w:t>
      </w:r>
      <w:r w:rsidR="00D455E0" w:rsidRPr="00F87937">
        <w:rPr>
          <w:color w:val="000000" w:themeColor="text1"/>
          <w:sz w:val="24"/>
          <w:szCs w:val="24"/>
          <w:lang w:val="bg-BG"/>
        </w:rPr>
        <w:t xml:space="preserve">равила за прозрачен конкурсен подбор на кандидати по </w:t>
      </w:r>
      <w:r w:rsidR="00614559" w:rsidRPr="00F87937">
        <w:rPr>
          <w:color w:val="000000" w:themeColor="text1"/>
          <w:sz w:val="24"/>
          <w:szCs w:val="24"/>
          <w:lang w:val="bg-BG"/>
        </w:rPr>
        <w:t>двата модула на националната програма „Млади учени“ и „</w:t>
      </w:r>
      <w:proofErr w:type="spellStart"/>
      <w:r w:rsidR="00614559" w:rsidRPr="00F87937">
        <w:rPr>
          <w:color w:val="000000" w:themeColor="text1"/>
          <w:sz w:val="24"/>
          <w:szCs w:val="24"/>
          <w:lang w:val="bg-BG"/>
        </w:rPr>
        <w:t>Постдокторанти</w:t>
      </w:r>
      <w:proofErr w:type="spellEnd"/>
      <w:r w:rsidR="00614559" w:rsidRPr="00F87937">
        <w:rPr>
          <w:color w:val="000000" w:themeColor="text1"/>
          <w:sz w:val="24"/>
          <w:szCs w:val="24"/>
          <w:lang w:val="bg-BG"/>
        </w:rPr>
        <w:t>“ за етап 1.</w:t>
      </w:r>
    </w:p>
    <w:p w14:paraId="41D5C3CF" w14:textId="7BA0B15D" w:rsidR="00F864FC" w:rsidRPr="001C0739" w:rsidRDefault="00EF6836" w:rsidP="00FB1603">
      <w:pPr>
        <w:spacing w:after="0" w:line="259" w:lineRule="auto"/>
        <w:ind w:right="0" w:firstLine="567"/>
        <w:rPr>
          <w:color w:val="000000" w:themeColor="text1"/>
          <w:sz w:val="24"/>
          <w:szCs w:val="24"/>
          <w:lang w:val="bg-BG"/>
        </w:rPr>
      </w:pPr>
      <w:r>
        <w:rPr>
          <w:b/>
          <w:color w:val="000000" w:themeColor="text1"/>
          <w:sz w:val="24"/>
          <w:szCs w:val="24"/>
          <w:lang w:val="bg-BG"/>
        </w:rPr>
        <w:lastRenderedPageBreak/>
        <w:t>3.</w:t>
      </w:r>
      <w:r w:rsidR="00F864FC" w:rsidRPr="001C0739">
        <w:rPr>
          <w:color w:val="000000" w:themeColor="text1"/>
          <w:sz w:val="24"/>
          <w:szCs w:val="24"/>
          <w:lang w:val="bg-BG"/>
        </w:rPr>
        <w:t xml:space="preserve"> Организира и управлява цялостния процес във връзка с кандидатстване за финансиране, класиране,  изпълнение и отчитане на всички участници по модул „Млади учени“ и модул „</w:t>
      </w:r>
      <w:proofErr w:type="spellStart"/>
      <w:r w:rsidR="00F864FC" w:rsidRPr="001C0739">
        <w:rPr>
          <w:color w:val="000000" w:themeColor="text1"/>
          <w:sz w:val="24"/>
          <w:szCs w:val="24"/>
          <w:lang w:val="bg-BG"/>
        </w:rPr>
        <w:t>Постдокторанти</w:t>
      </w:r>
      <w:proofErr w:type="spellEnd"/>
      <w:r w:rsidR="00F864FC" w:rsidRPr="001C0739">
        <w:rPr>
          <w:color w:val="000000" w:themeColor="text1"/>
          <w:sz w:val="24"/>
          <w:szCs w:val="24"/>
          <w:lang w:val="bg-BG"/>
        </w:rPr>
        <w:t>“ , като:</w:t>
      </w:r>
    </w:p>
    <w:p w14:paraId="6AAF2E83" w14:textId="77777777" w:rsidR="00614559" w:rsidRDefault="00614559" w:rsidP="00614559">
      <w:pPr>
        <w:spacing w:after="0" w:line="259" w:lineRule="auto"/>
        <w:ind w:right="0" w:firstLine="567"/>
        <w:rPr>
          <w:color w:val="000000" w:themeColor="text1"/>
          <w:sz w:val="24"/>
          <w:szCs w:val="24"/>
          <w:lang w:val="bg-BG"/>
        </w:rPr>
      </w:pPr>
      <w:r>
        <w:rPr>
          <w:color w:val="000000" w:themeColor="text1"/>
          <w:sz w:val="24"/>
          <w:szCs w:val="24"/>
          <w:lang w:val="bg-BG"/>
        </w:rPr>
        <w:t xml:space="preserve">- </w:t>
      </w:r>
      <w:r w:rsidR="005F75EA" w:rsidRPr="001C0739">
        <w:rPr>
          <w:color w:val="000000" w:themeColor="text1"/>
          <w:sz w:val="24"/>
          <w:szCs w:val="24"/>
          <w:lang w:val="bg-BG"/>
        </w:rPr>
        <w:t xml:space="preserve">допуска до финансиране, </w:t>
      </w:r>
      <w:r w:rsidR="00F864FC" w:rsidRPr="001C0739">
        <w:rPr>
          <w:color w:val="000000" w:themeColor="text1"/>
          <w:sz w:val="24"/>
          <w:szCs w:val="24"/>
          <w:lang w:val="bg-BG"/>
        </w:rPr>
        <w:t xml:space="preserve">определя </w:t>
      </w:r>
      <w:r w:rsidR="005F75EA" w:rsidRPr="001C0739">
        <w:rPr>
          <w:color w:val="000000" w:themeColor="text1"/>
          <w:sz w:val="24"/>
          <w:szCs w:val="24"/>
          <w:lang w:val="bg-BG"/>
        </w:rPr>
        <w:t>срока и размера на финансирането на всеки допуснат кандидат</w:t>
      </w:r>
      <w:r w:rsidR="00F864FC" w:rsidRPr="001C0739">
        <w:rPr>
          <w:color w:val="000000" w:themeColor="text1"/>
          <w:sz w:val="24"/>
          <w:szCs w:val="24"/>
          <w:lang w:val="bg-BG"/>
        </w:rPr>
        <w:t>;</w:t>
      </w:r>
      <w:r w:rsidR="00A93122" w:rsidRPr="001C0739">
        <w:rPr>
          <w:color w:val="000000" w:themeColor="text1"/>
          <w:sz w:val="24"/>
          <w:szCs w:val="24"/>
          <w:lang w:val="bg-BG"/>
        </w:rPr>
        <w:t xml:space="preserve"> </w:t>
      </w:r>
    </w:p>
    <w:p w14:paraId="12165E67" w14:textId="3436E8EB" w:rsidR="000D1310" w:rsidRPr="001C0739" w:rsidRDefault="00614559" w:rsidP="00614559">
      <w:pPr>
        <w:spacing w:after="0" w:line="259" w:lineRule="auto"/>
        <w:ind w:right="0" w:firstLine="567"/>
        <w:rPr>
          <w:color w:val="000000" w:themeColor="text1"/>
          <w:sz w:val="24"/>
          <w:szCs w:val="24"/>
          <w:lang w:val="bg-BG"/>
        </w:rPr>
      </w:pPr>
      <w:r>
        <w:rPr>
          <w:color w:val="000000" w:themeColor="text1"/>
          <w:sz w:val="24"/>
          <w:szCs w:val="24"/>
          <w:lang w:val="bg-BG"/>
        </w:rPr>
        <w:t xml:space="preserve">- </w:t>
      </w:r>
      <w:r w:rsidR="009E3D68" w:rsidRPr="001C0739">
        <w:rPr>
          <w:color w:val="000000" w:themeColor="text1"/>
          <w:sz w:val="24"/>
          <w:szCs w:val="24"/>
          <w:lang w:val="bg-BG"/>
        </w:rPr>
        <w:t>извършва класиране</w:t>
      </w:r>
      <w:r w:rsidR="00F864FC" w:rsidRPr="001C0739">
        <w:rPr>
          <w:color w:val="000000" w:themeColor="text1"/>
          <w:sz w:val="24"/>
          <w:szCs w:val="24"/>
          <w:lang w:val="bg-BG"/>
        </w:rPr>
        <w:t>то</w:t>
      </w:r>
      <w:r w:rsidR="009E3D68" w:rsidRPr="001C0739">
        <w:rPr>
          <w:color w:val="000000" w:themeColor="text1"/>
          <w:sz w:val="24"/>
          <w:szCs w:val="24"/>
          <w:lang w:val="bg-BG"/>
        </w:rPr>
        <w:t xml:space="preserve"> на </w:t>
      </w:r>
      <w:r w:rsidR="005F75EA" w:rsidRPr="001C0739">
        <w:rPr>
          <w:color w:val="000000" w:themeColor="text1"/>
          <w:sz w:val="24"/>
          <w:szCs w:val="24"/>
          <w:lang w:val="bg-BG"/>
        </w:rPr>
        <w:t>кандидатите</w:t>
      </w:r>
      <w:r w:rsidR="00F864FC" w:rsidRPr="001C0739">
        <w:rPr>
          <w:color w:val="000000" w:themeColor="text1"/>
          <w:sz w:val="24"/>
          <w:szCs w:val="24"/>
          <w:lang w:val="bg-BG"/>
        </w:rPr>
        <w:t xml:space="preserve"> по всеки модул</w:t>
      </w:r>
      <w:r w:rsidR="005F75EA" w:rsidRPr="001C0739">
        <w:rPr>
          <w:color w:val="000000" w:themeColor="text1"/>
          <w:sz w:val="24"/>
          <w:szCs w:val="24"/>
          <w:lang w:val="bg-BG"/>
        </w:rPr>
        <w:t xml:space="preserve"> </w:t>
      </w:r>
      <w:r w:rsidR="00F864FC" w:rsidRPr="001C0739">
        <w:rPr>
          <w:color w:val="000000" w:themeColor="text1"/>
          <w:sz w:val="24"/>
          <w:szCs w:val="24"/>
          <w:lang w:val="bg-BG"/>
        </w:rPr>
        <w:t xml:space="preserve">на основание определените в Правилата за прозрачен конкурсен подбор на кандидати по модул „Млади учени и </w:t>
      </w:r>
      <w:proofErr w:type="spellStart"/>
      <w:r w:rsidR="00F864FC" w:rsidRPr="001C0739">
        <w:rPr>
          <w:color w:val="000000" w:themeColor="text1"/>
          <w:sz w:val="24"/>
          <w:szCs w:val="24"/>
          <w:lang w:val="bg-BG"/>
        </w:rPr>
        <w:t>постдокторанти</w:t>
      </w:r>
      <w:proofErr w:type="spellEnd"/>
      <w:r w:rsidR="00F864FC" w:rsidRPr="001C0739">
        <w:rPr>
          <w:color w:val="000000" w:themeColor="text1"/>
          <w:sz w:val="24"/>
          <w:szCs w:val="24"/>
          <w:lang w:val="bg-BG"/>
        </w:rPr>
        <w:t xml:space="preserve"> по национална програма „Млади учени и </w:t>
      </w:r>
      <w:proofErr w:type="spellStart"/>
      <w:r w:rsidR="00F864FC" w:rsidRPr="001C0739">
        <w:rPr>
          <w:color w:val="000000" w:themeColor="text1"/>
          <w:sz w:val="24"/>
          <w:szCs w:val="24"/>
          <w:lang w:val="bg-BG"/>
        </w:rPr>
        <w:t>постдокторанти</w:t>
      </w:r>
      <w:proofErr w:type="spellEnd"/>
      <w:r w:rsidR="00F864FC" w:rsidRPr="001C0739">
        <w:rPr>
          <w:color w:val="000000" w:themeColor="text1"/>
          <w:sz w:val="24"/>
          <w:szCs w:val="24"/>
          <w:lang w:val="bg-BG"/>
        </w:rPr>
        <w:t xml:space="preserve"> – 2“  в структурните звена на Икономически университет – Варна </w:t>
      </w:r>
      <w:r w:rsidR="005F75EA" w:rsidRPr="001C0739">
        <w:rPr>
          <w:color w:val="000000" w:themeColor="text1"/>
          <w:sz w:val="24"/>
          <w:szCs w:val="24"/>
          <w:lang w:val="bg-BG"/>
        </w:rPr>
        <w:t xml:space="preserve">критерии за избор на </w:t>
      </w:r>
      <w:r w:rsidR="000D1310" w:rsidRPr="001C0739">
        <w:rPr>
          <w:color w:val="000000" w:themeColor="text1"/>
          <w:sz w:val="24"/>
          <w:szCs w:val="24"/>
          <w:lang w:val="bg-BG"/>
        </w:rPr>
        <w:t>млад учен</w:t>
      </w:r>
      <w:r w:rsidR="005F75EA" w:rsidRPr="001C0739">
        <w:rPr>
          <w:color w:val="000000" w:themeColor="text1"/>
          <w:sz w:val="24"/>
          <w:szCs w:val="24"/>
          <w:lang w:val="bg-BG"/>
        </w:rPr>
        <w:t xml:space="preserve"> и </w:t>
      </w:r>
      <w:proofErr w:type="spellStart"/>
      <w:r w:rsidR="000D1310" w:rsidRPr="001C0739">
        <w:rPr>
          <w:color w:val="000000" w:themeColor="text1"/>
          <w:sz w:val="24"/>
          <w:szCs w:val="24"/>
          <w:lang w:val="bg-BG"/>
        </w:rPr>
        <w:t>постдокторант</w:t>
      </w:r>
      <w:proofErr w:type="spellEnd"/>
      <w:r w:rsidR="00F864FC" w:rsidRPr="001C0739">
        <w:rPr>
          <w:color w:val="000000" w:themeColor="text1"/>
          <w:sz w:val="24"/>
          <w:szCs w:val="24"/>
          <w:lang w:val="bg-BG"/>
        </w:rPr>
        <w:t>;</w:t>
      </w:r>
      <w:r w:rsidR="00BB732D" w:rsidRPr="001C0739">
        <w:rPr>
          <w:color w:val="000000" w:themeColor="text1"/>
          <w:sz w:val="24"/>
          <w:szCs w:val="24"/>
          <w:lang w:val="bg-BG"/>
        </w:rPr>
        <w:t xml:space="preserve"> </w:t>
      </w:r>
    </w:p>
    <w:p w14:paraId="6099337A" w14:textId="3A450E87" w:rsidR="00A00D17" w:rsidRPr="001C0739" w:rsidRDefault="00614559" w:rsidP="00FB1603">
      <w:pPr>
        <w:spacing w:after="0" w:line="259" w:lineRule="auto"/>
        <w:ind w:right="0" w:firstLine="567"/>
        <w:rPr>
          <w:color w:val="000000" w:themeColor="text1"/>
          <w:sz w:val="24"/>
          <w:szCs w:val="24"/>
          <w:lang w:val="bg-BG"/>
        </w:rPr>
      </w:pPr>
      <w:r>
        <w:rPr>
          <w:color w:val="000000" w:themeColor="text1"/>
          <w:sz w:val="24"/>
          <w:szCs w:val="24"/>
          <w:lang w:val="bg-BG"/>
        </w:rPr>
        <w:t>4</w:t>
      </w:r>
      <w:r w:rsidR="00EA42DC" w:rsidRPr="001C0739">
        <w:rPr>
          <w:color w:val="000000" w:themeColor="text1"/>
          <w:sz w:val="24"/>
          <w:szCs w:val="24"/>
          <w:lang w:val="bg-BG"/>
        </w:rPr>
        <w:t xml:space="preserve">. </w:t>
      </w:r>
      <w:r w:rsidR="00F864FC" w:rsidRPr="001C0739">
        <w:rPr>
          <w:color w:val="000000" w:themeColor="text1"/>
          <w:sz w:val="24"/>
          <w:szCs w:val="24"/>
          <w:lang w:val="bg-BG"/>
        </w:rPr>
        <w:t>п</w:t>
      </w:r>
      <w:r w:rsidR="00EA42DC" w:rsidRPr="001C0739">
        <w:rPr>
          <w:color w:val="000000" w:themeColor="text1"/>
          <w:sz w:val="24"/>
          <w:szCs w:val="24"/>
          <w:lang w:val="bg-BG"/>
        </w:rPr>
        <w:t xml:space="preserve">риема отчетите за извършените дейности </w:t>
      </w:r>
      <w:r w:rsidR="00F864FC" w:rsidRPr="001C0739">
        <w:rPr>
          <w:color w:val="000000" w:themeColor="text1"/>
          <w:sz w:val="24"/>
          <w:szCs w:val="24"/>
          <w:lang w:val="bg-BG"/>
        </w:rPr>
        <w:t xml:space="preserve">на одобрените участници </w:t>
      </w:r>
      <w:r w:rsidR="00EA42DC" w:rsidRPr="001C0739">
        <w:rPr>
          <w:color w:val="000000" w:themeColor="text1"/>
          <w:sz w:val="24"/>
          <w:szCs w:val="24"/>
          <w:lang w:val="bg-BG"/>
        </w:rPr>
        <w:t xml:space="preserve">по </w:t>
      </w:r>
      <w:r w:rsidR="00F864FC" w:rsidRPr="001C0739">
        <w:rPr>
          <w:color w:val="000000" w:themeColor="text1"/>
          <w:sz w:val="24"/>
          <w:szCs w:val="24"/>
          <w:lang w:val="bg-BG"/>
        </w:rPr>
        <w:t>НПМУПД</w:t>
      </w:r>
      <w:r w:rsidR="007F28D1" w:rsidRPr="001C0739">
        <w:rPr>
          <w:color w:val="000000" w:themeColor="text1"/>
          <w:sz w:val="24"/>
          <w:szCs w:val="24"/>
          <w:lang w:val="bg-BG"/>
        </w:rPr>
        <w:t>-3</w:t>
      </w:r>
      <w:r w:rsidR="00F864FC" w:rsidRPr="001C0739">
        <w:rPr>
          <w:color w:val="000000" w:themeColor="text1"/>
          <w:sz w:val="24"/>
          <w:szCs w:val="24"/>
          <w:lang w:val="bg-BG"/>
        </w:rPr>
        <w:t>.</w:t>
      </w:r>
    </w:p>
    <w:p w14:paraId="4435710C" w14:textId="011277B8" w:rsidR="00F864FC" w:rsidRPr="001C0739" w:rsidRDefault="00F864FC" w:rsidP="00FB1603">
      <w:pPr>
        <w:spacing w:after="0" w:line="259" w:lineRule="auto"/>
        <w:ind w:right="0" w:firstLine="567"/>
        <w:rPr>
          <w:color w:val="000000" w:themeColor="text1"/>
          <w:sz w:val="24"/>
          <w:szCs w:val="24"/>
          <w:lang w:val="bg-BG"/>
        </w:rPr>
      </w:pPr>
      <w:r w:rsidRPr="001C0739">
        <w:rPr>
          <w:b/>
          <w:color w:val="000000" w:themeColor="text1"/>
          <w:sz w:val="24"/>
          <w:szCs w:val="24"/>
          <w:lang w:val="bg-BG"/>
        </w:rPr>
        <w:t xml:space="preserve">Чл. </w:t>
      </w:r>
      <w:r w:rsidR="00A37556" w:rsidRPr="001C0739">
        <w:rPr>
          <w:b/>
          <w:color w:val="000000" w:themeColor="text1"/>
          <w:sz w:val="24"/>
          <w:szCs w:val="24"/>
          <w:lang w:val="bg-BG"/>
        </w:rPr>
        <w:t>7</w:t>
      </w:r>
      <w:r w:rsidRPr="001C0739">
        <w:rPr>
          <w:b/>
          <w:color w:val="000000" w:themeColor="text1"/>
          <w:sz w:val="24"/>
          <w:szCs w:val="24"/>
          <w:lang w:val="bg-BG"/>
        </w:rPr>
        <w:t xml:space="preserve">. </w:t>
      </w:r>
      <w:r w:rsidRPr="001C0739">
        <w:rPr>
          <w:color w:val="000000" w:themeColor="text1"/>
          <w:sz w:val="24"/>
          <w:szCs w:val="24"/>
          <w:lang w:val="bg-BG"/>
        </w:rPr>
        <w:t>Разпределението на получените по НПМУПД</w:t>
      </w:r>
      <w:r w:rsidR="007F28D1" w:rsidRPr="001C0739">
        <w:rPr>
          <w:color w:val="000000" w:themeColor="text1"/>
          <w:sz w:val="24"/>
          <w:szCs w:val="24"/>
          <w:lang w:val="bg-BG"/>
        </w:rPr>
        <w:t>-3</w:t>
      </w:r>
      <w:r w:rsidR="00EF6836">
        <w:rPr>
          <w:color w:val="000000" w:themeColor="text1"/>
          <w:sz w:val="24"/>
          <w:szCs w:val="24"/>
          <w:lang w:val="bg-BG"/>
        </w:rPr>
        <w:t xml:space="preserve"> средства се </w:t>
      </w:r>
      <w:r w:rsidR="00EF6836" w:rsidRPr="00F87937">
        <w:rPr>
          <w:color w:val="000000" w:themeColor="text1"/>
          <w:sz w:val="24"/>
          <w:szCs w:val="24"/>
          <w:lang w:val="bg-BG"/>
        </w:rPr>
        <w:t>извършва</w:t>
      </w:r>
      <w:r w:rsidRPr="001C0739">
        <w:rPr>
          <w:color w:val="000000" w:themeColor="text1"/>
          <w:sz w:val="24"/>
          <w:szCs w:val="24"/>
          <w:lang w:val="bg-BG"/>
        </w:rPr>
        <w:t xml:space="preserve"> </w:t>
      </w:r>
      <w:r w:rsidR="00B30C92" w:rsidRPr="001C0739">
        <w:rPr>
          <w:color w:val="000000" w:themeColor="text1"/>
          <w:sz w:val="24"/>
          <w:szCs w:val="24"/>
          <w:lang w:val="bg-BG"/>
        </w:rPr>
        <w:t>въз основа на</w:t>
      </w:r>
      <w:r w:rsidRPr="001C0739">
        <w:rPr>
          <w:color w:val="000000" w:themeColor="text1"/>
          <w:sz w:val="24"/>
          <w:szCs w:val="24"/>
          <w:lang w:val="bg-BG"/>
        </w:rPr>
        <w:t xml:space="preserve"> </w:t>
      </w:r>
      <w:r w:rsidR="00B30C92" w:rsidRPr="001C0739">
        <w:rPr>
          <w:color w:val="000000" w:themeColor="text1"/>
          <w:sz w:val="24"/>
          <w:szCs w:val="24"/>
          <w:lang w:val="bg-BG"/>
        </w:rPr>
        <w:t xml:space="preserve">Приноса на структурните звена към общата научна продукция отразена в базите данни </w:t>
      </w:r>
      <w:proofErr w:type="spellStart"/>
      <w:r w:rsidR="00B30C92" w:rsidRPr="001C0739">
        <w:rPr>
          <w:color w:val="000000" w:themeColor="text1"/>
          <w:sz w:val="24"/>
          <w:szCs w:val="24"/>
          <w:lang w:val="bg-BG"/>
        </w:rPr>
        <w:t>Scopus</w:t>
      </w:r>
      <w:proofErr w:type="spellEnd"/>
      <w:r w:rsidR="00B30C92" w:rsidRPr="001C0739">
        <w:rPr>
          <w:color w:val="000000" w:themeColor="text1"/>
          <w:sz w:val="24"/>
          <w:szCs w:val="24"/>
          <w:lang w:val="bg-BG"/>
        </w:rPr>
        <w:t>/</w:t>
      </w:r>
      <w:proofErr w:type="spellStart"/>
      <w:r w:rsidR="00B30C92" w:rsidRPr="001C0739">
        <w:rPr>
          <w:color w:val="000000" w:themeColor="text1"/>
          <w:sz w:val="24"/>
          <w:szCs w:val="24"/>
          <w:lang w:val="bg-BG"/>
        </w:rPr>
        <w:t>Web</w:t>
      </w:r>
      <w:proofErr w:type="spellEnd"/>
      <w:r w:rsidR="00B30C92" w:rsidRPr="001C0739">
        <w:rPr>
          <w:color w:val="000000" w:themeColor="text1"/>
          <w:sz w:val="24"/>
          <w:szCs w:val="24"/>
          <w:lang w:val="bg-BG"/>
        </w:rPr>
        <w:t xml:space="preserve"> </w:t>
      </w:r>
      <w:proofErr w:type="spellStart"/>
      <w:r w:rsidR="00B30C92" w:rsidRPr="001C0739">
        <w:rPr>
          <w:color w:val="000000" w:themeColor="text1"/>
          <w:sz w:val="24"/>
          <w:szCs w:val="24"/>
          <w:lang w:val="bg-BG"/>
        </w:rPr>
        <w:t>of</w:t>
      </w:r>
      <w:proofErr w:type="spellEnd"/>
      <w:r w:rsidR="00B30C92" w:rsidRPr="001C0739">
        <w:rPr>
          <w:color w:val="000000" w:themeColor="text1"/>
          <w:sz w:val="24"/>
          <w:szCs w:val="24"/>
          <w:lang w:val="bg-BG"/>
        </w:rPr>
        <w:t xml:space="preserve"> </w:t>
      </w:r>
      <w:r w:rsidR="00B30C92" w:rsidRPr="00F87937">
        <w:rPr>
          <w:color w:val="000000" w:themeColor="text1"/>
          <w:sz w:val="24"/>
          <w:szCs w:val="24"/>
          <w:lang w:val="bg-BG"/>
        </w:rPr>
        <w:t xml:space="preserve">Science на ИУ-Варна </w:t>
      </w:r>
      <w:r w:rsidR="00EF6836" w:rsidRPr="00F87937">
        <w:rPr>
          <w:color w:val="000000" w:themeColor="text1"/>
          <w:sz w:val="24"/>
          <w:szCs w:val="24"/>
          <w:lang w:val="bg-BG"/>
        </w:rPr>
        <w:t xml:space="preserve">и средно-списъчния състав на същите </w:t>
      </w:r>
      <w:r w:rsidR="00B30C92" w:rsidRPr="00F87937">
        <w:rPr>
          <w:color w:val="000000" w:themeColor="text1"/>
          <w:sz w:val="24"/>
          <w:szCs w:val="24"/>
          <w:lang w:val="bg-BG"/>
        </w:rPr>
        <w:t>съгласно Приложение 1.</w:t>
      </w:r>
      <w:r w:rsidR="00B30C92" w:rsidRPr="001C0739">
        <w:rPr>
          <w:color w:val="000000" w:themeColor="text1"/>
          <w:sz w:val="24"/>
          <w:szCs w:val="24"/>
          <w:lang w:val="bg-BG"/>
        </w:rPr>
        <w:t xml:space="preserve"> </w:t>
      </w:r>
    </w:p>
    <w:p w14:paraId="2DED73A6" w14:textId="4D79C6A3" w:rsidR="00A00D17" w:rsidRPr="001C0739" w:rsidRDefault="00DF2B40" w:rsidP="00FB1603">
      <w:pPr>
        <w:spacing w:after="0" w:line="259" w:lineRule="auto"/>
        <w:ind w:right="0" w:firstLine="567"/>
        <w:rPr>
          <w:color w:val="000000" w:themeColor="text1"/>
          <w:sz w:val="24"/>
          <w:szCs w:val="24"/>
          <w:lang w:val="bg-BG"/>
        </w:rPr>
      </w:pPr>
      <w:r w:rsidRPr="001C0739">
        <w:rPr>
          <w:b/>
          <w:color w:val="000000" w:themeColor="text1"/>
          <w:sz w:val="24"/>
          <w:szCs w:val="24"/>
          <w:lang w:val="bg-BG"/>
        </w:rPr>
        <w:t xml:space="preserve">Чл. </w:t>
      </w:r>
      <w:r w:rsidR="00A37556" w:rsidRPr="001C0739">
        <w:rPr>
          <w:b/>
          <w:color w:val="000000" w:themeColor="text1"/>
          <w:sz w:val="24"/>
          <w:szCs w:val="24"/>
          <w:lang w:val="bg-BG"/>
        </w:rPr>
        <w:t>8</w:t>
      </w:r>
      <w:r w:rsidR="00A00D17" w:rsidRPr="001C0739">
        <w:rPr>
          <w:b/>
          <w:color w:val="000000" w:themeColor="text1"/>
          <w:sz w:val="24"/>
          <w:szCs w:val="24"/>
          <w:lang w:val="bg-BG"/>
        </w:rPr>
        <w:t xml:space="preserve">. </w:t>
      </w:r>
      <w:r w:rsidR="00B30C92" w:rsidRPr="001C0739">
        <w:rPr>
          <w:color w:val="000000" w:themeColor="text1"/>
          <w:sz w:val="24"/>
          <w:szCs w:val="24"/>
          <w:lang w:val="bg-BG"/>
        </w:rPr>
        <w:t xml:space="preserve">За етап едно от изпълнение на програмата </w:t>
      </w:r>
      <w:r w:rsidR="00BE064B" w:rsidRPr="001C0739">
        <w:rPr>
          <w:color w:val="000000" w:themeColor="text1"/>
          <w:sz w:val="24"/>
          <w:szCs w:val="24"/>
          <w:lang w:val="bg-BG"/>
        </w:rPr>
        <w:t>получените средства в размер на 46 526 лв. се разпределят</w:t>
      </w:r>
      <w:bookmarkStart w:id="1" w:name="_GoBack"/>
      <w:bookmarkEnd w:id="1"/>
      <w:r w:rsidR="00BE064B" w:rsidRPr="001C0739">
        <w:rPr>
          <w:color w:val="000000" w:themeColor="text1"/>
          <w:sz w:val="24"/>
          <w:szCs w:val="24"/>
          <w:lang w:val="bg-BG"/>
        </w:rPr>
        <w:t>, както следва:</w:t>
      </w:r>
    </w:p>
    <w:p w14:paraId="02C43A82" w14:textId="1B315B56" w:rsidR="00BE064B" w:rsidRPr="001C0739" w:rsidRDefault="00BE064B" w:rsidP="00FB1603">
      <w:pPr>
        <w:pStyle w:val="ListParagraph"/>
        <w:numPr>
          <w:ilvl w:val="0"/>
          <w:numId w:val="21"/>
        </w:numPr>
        <w:spacing w:after="0" w:line="259" w:lineRule="auto"/>
        <w:ind w:left="0" w:right="0" w:firstLine="567"/>
        <w:rPr>
          <w:color w:val="000000" w:themeColor="text1"/>
          <w:sz w:val="24"/>
          <w:szCs w:val="24"/>
          <w:lang w:val="bg-BG"/>
        </w:rPr>
      </w:pPr>
      <w:r w:rsidRPr="001C0739">
        <w:rPr>
          <w:color w:val="000000" w:themeColor="text1"/>
          <w:sz w:val="24"/>
          <w:szCs w:val="24"/>
          <w:lang w:val="bg-BG"/>
        </w:rPr>
        <w:t>за модул „Млади учени“ 50% или  23 263 лв.</w:t>
      </w:r>
      <w:r w:rsidR="00FB1603" w:rsidRPr="001C0739">
        <w:rPr>
          <w:color w:val="000000" w:themeColor="text1"/>
          <w:sz w:val="24"/>
          <w:szCs w:val="24"/>
          <w:lang w:val="bg-BG"/>
        </w:rPr>
        <w:t xml:space="preserve"> </w:t>
      </w:r>
    </w:p>
    <w:p w14:paraId="41F440FC" w14:textId="67F4D44F" w:rsidR="00BE064B" w:rsidRPr="001C0739" w:rsidRDefault="00BE064B" w:rsidP="00FB1603">
      <w:pPr>
        <w:pStyle w:val="ListParagraph"/>
        <w:numPr>
          <w:ilvl w:val="0"/>
          <w:numId w:val="21"/>
        </w:numPr>
        <w:spacing w:after="0" w:line="259" w:lineRule="auto"/>
        <w:ind w:left="0" w:right="0" w:firstLine="567"/>
        <w:rPr>
          <w:color w:val="000000" w:themeColor="text1"/>
          <w:sz w:val="24"/>
          <w:szCs w:val="24"/>
          <w:lang w:val="bg-BG"/>
        </w:rPr>
      </w:pPr>
      <w:r w:rsidRPr="001C0739">
        <w:rPr>
          <w:color w:val="000000" w:themeColor="text1"/>
          <w:sz w:val="24"/>
          <w:szCs w:val="24"/>
          <w:lang w:val="bg-BG"/>
        </w:rPr>
        <w:t>за модул „</w:t>
      </w:r>
      <w:proofErr w:type="spellStart"/>
      <w:r w:rsidRPr="001C0739">
        <w:rPr>
          <w:color w:val="000000" w:themeColor="text1"/>
          <w:sz w:val="24"/>
          <w:szCs w:val="24"/>
          <w:lang w:val="bg-BG"/>
        </w:rPr>
        <w:t>Постдокторанти</w:t>
      </w:r>
      <w:proofErr w:type="spellEnd"/>
      <w:r w:rsidRPr="001C0739">
        <w:rPr>
          <w:color w:val="000000" w:themeColor="text1"/>
          <w:sz w:val="24"/>
          <w:szCs w:val="24"/>
          <w:lang w:val="bg-BG"/>
        </w:rPr>
        <w:t>“ 50% или  23 263 лв.</w:t>
      </w:r>
    </w:p>
    <w:p w14:paraId="5A467F72" w14:textId="5E7E07AE" w:rsidR="00FF7EE8" w:rsidRPr="001C0739" w:rsidRDefault="00DF2B40" w:rsidP="00FB1603">
      <w:pPr>
        <w:spacing w:after="0" w:line="259" w:lineRule="auto"/>
        <w:ind w:right="0" w:firstLine="567"/>
        <w:rPr>
          <w:color w:val="auto"/>
          <w:sz w:val="24"/>
          <w:szCs w:val="24"/>
          <w:lang w:val="bg-BG"/>
        </w:rPr>
      </w:pPr>
      <w:r w:rsidRPr="001C0739">
        <w:rPr>
          <w:b/>
          <w:color w:val="auto"/>
          <w:sz w:val="24"/>
          <w:szCs w:val="24"/>
          <w:lang w:val="bg-BG"/>
        </w:rPr>
        <w:t xml:space="preserve">Чл. </w:t>
      </w:r>
      <w:r w:rsidR="00A37556" w:rsidRPr="001C0739">
        <w:rPr>
          <w:b/>
          <w:color w:val="auto"/>
          <w:sz w:val="24"/>
          <w:szCs w:val="24"/>
          <w:lang w:val="bg-BG"/>
        </w:rPr>
        <w:t>9</w:t>
      </w:r>
      <w:r w:rsidR="00A00D17" w:rsidRPr="001C0739">
        <w:rPr>
          <w:b/>
          <w:color w:val="auto"/>
          <w:sz w:val="24"/>
          <w:szCs w:val="24"/>
          <w:lang w:val="bg-BG"/>
        </w:rPr>
        <w:t>.</w:t>
      </w:r>
      <w:r w:rsidR="00EF6836">
        <w:rPr>
          <w:b/>
          <w:color w:val="auto"/>
          <w:sz w:val="24"/>
          <w:szCs w:val="24"/>
          <w:lang w:val="bg-BG"/>
        </w:rPr>
        <w:t xml:space="preserve"> </w:t>
      </w:r>
      <w:r w:rsidR="00FF7EE8" w:rsidRPr="001C0739">
        <w:rPr>
          <w:bCs/>
          <w:sz w:val="24"/>
          <w:szCs w:val="24"/>
          <w:lang w:val="bg-BG"/>
        </w:rPr>
        <w:t xml:space="preserve">Допустимите разходи за </w:t>
      </w:r>
      <w:r w:rsidR="001C76C7" w:rsidRPr="001C0739">
        <w:rPr>
          <w:bCs/>
          <w:sz w:val="24"/>
          <w:szCs w:val="24"/>
          <w:lang w:val="bg-BG"/>
        </w:rPr>
        <w:t>отделните модули</w:t>
      </w:r>
      <w:r w:rsidR="00FF7EE8" w:rsidRPr="001C0739">
        <w:rPr>
          <w:bCs/>
          <w:sz w:val="24"/>
          <w:szCs w:val="24"/>
          <w:lang w:val="bg-BG"/>
        </w:rPr>
        <w:t xml:space="preserve"> </w:t>
      </w:r>
      <w:r w:rsidR="00FF7EE8" w:rsidRPr="001C0739">
        <w:rPr>
          <w:sz w:val="24"/>
          <w:szCs w:val="24"/>
          <w:lang w:val="bg-BG"/>
        </w:rPr>
        <w:t xml:space="preserve">по </w:t>
      </w:r>
      <w:r w:rsidR="001C76C7" w:rsidRPr="001C0739">
        <w:rPr>
          <w:sz w:val="24"/>
          <w:szCs w:val="24"/>
          <w:lang w:val="bg-BG"/>
        </w:rPr>
        <w:t xml:space="preserve">НПМУПД, </w:t>
      </w:r>
      <w:r w:rsidR="00591336" w:rsidRPr="001C0739">
        <w:rPr>
          <w:sz w:val="24"/>
          <w:szCs w:val="24"/>
          <w:lang w:val="bg-BG"/>
        </w:rPr>
        <w:t>са</w:t>
      </w:r>
      <w:r w:rsidR="00FF7EE8" w:rsidRPr="001C0739">
        <w:rPr>
          <w:sz w:val="24"/>
          <w:szCs w:val="24"/>
          <w:lang w:val="bg-BG"/>
        </w:rPr>
        <w:t xml:space="preserve"> както следва:</w:t>
      </w:r>
    </w:p>
    <w:p w14:paraId="1792C5C6" w14:textId="55412B78" w:rsidR="00FF7EE8" w:rsidRPr="001C0739" w:rsidRDefault="00EF6836" w:rsidP="00FB1603">
      <w:pPr>
        <w:ind w:firstLine="567"/>
        <w:rPr>
          <w:b/>
          <w:bCs/>
          <w:sz w:val="24"/>
          <w:szCs w:val="24"/>
          <w:lang w:val="bg-BG"/>
        </w:rPr>
      </w:pPr>
      <w:r>
        <w:rPr>
          <w:b/>
          <w:bCs/>
          <w:sz w:val="24"/>
          <w:szCs w:val="24"/>
          <w:lang w:val="bg-BG"/>
        </w:rPr>
        <w:t>(1</w:t>
      </w:r>
      <w:r w:rsidR="00591336" w:rsidRPr="001C0739">
        <w:rPr>
          <w:b/>
          <w:bCs/>
          <w:sz w:val="24"/>
          <w:szCs w:val="24"/>
          <w:lang w:val="bg-BG"/>
        </w:rPr>
        <w:t xml:space="preserve">) </w:t>
      </w:r>
      <w:r w:rsidR="00FF7EE8" w:rsidRPr="001C0739">
        <w:rPr>
          <w:b/>
          <w:bCs/>
          <w:sz w:val="24"/>
          <w:szCs w:val="24"/>
          <w:lang w:val="bg-BG"/>
        </w:rPr>
        <w:t xml:space="preserve">За модул „Млади </w:t>
      </w:r>
      <w:r w:rsidR="005245C7" w:rsidRPr="001C0739">
        <w:rPr>
          <w:b/>
          <w:bCs/>
          <w:sz w:val="24"/>
          <w:szCs w:val="24"/>
          <w:lang w:val="bg-BG"/>
        </w:rPr>
        <w:t>учени “</w:t>
      </w:r>
      <w:r w:rsidR="00FF7EE8" w:rsidRPr="001C0739">
        <w:rPr>
          <w:b/>
          <w:bCs/>
          <w:sz w:val="24"/>
          <w:szCs w:val="24"/>
          <w:lang w:val="bg-BG"/>
        </w:rPr>
        <w:t>:</w:t>
      </w:r>
    </w:p>
    <w:p w14:paraId="37D0BA64" w14:textId="77777777" w:rsidR="00A00D17" w:rsidRPr="001C0739" w:rsidRDefault="00FF7EE8" w:rsidP="00FB1603">
      <w:pPr>
        <w:pStyle w:val="ListParagraph"/>
        <w:numPr>
          <w:ilvl w:val="1"/>
          <w:numId w:val="16"/>
        </w:numPr>
        <w:spacing w:after="0" w:line="240" w:lineRule="auto"/>
        <w:ind w:left="0" w:right="0" w:firstLine="567"/>
        <w:rPr>
          <w:sz w:val="24"/>
          <w:szCs w:val="24"/>
          <w:lang w:val="bg-BG"/>
        </w:rPr>
      </w:pPr>
      <w:r w:rsidRPr="001C0739">
        <w:rPr>
          <w:sz w:val="24"/>
          <w:szCs w:val="24"/>
          <w:lang w:val="bg-BG"/>
        </w:rPr>
        <w:t>Средствата по модула могат да бъдат използвани както за основни месечни възнаграждения на новоназначени МУ, така и за допълнителни месечни възнаграждения на вече назначени в организацията бенефициент млади учени, както следва:</w:t>
      </w:r>
    </w:p>
    <w:p w14:paraId="79D58972" w14:textId="44CA73FF" w:rsidR="00A00D17" w:rsidRPr="001C0739" w:rsidRDefault="00A00D17" w:rsidP="00FB1603">
      <w:pPr>
        <w:spacing w:after="0" w:line="240" w:lineRule="auto"/>
        <w:ind w:right="0" w:firstLine="567"/>
        <w:rPr>
          <w:color w:val="000000" w:themeColor="text1"/>
          <w:sz w:val="24"/>
          <w:szCs w:val="24"/>
          <w:lang w:val="bg-BG"/>
        </w:rPr>
      </w:pPr>
      <w:r w:rsidRPr="001C0739">
        <w:rPr>
          <w:sz w:val="24"/>
          <w:szCs w:val="24"/>
          <w:lang w:val="bg-BG"/>
        </w:rPr>
        <w:t xml:space="preserve">а) </w:t>
      </w:r>
      <w:r w:rsidR="00FF7EE8" w:rsidRPr="001C0739">
        <w:rPr>
          <w:sz w:val="24"/>
          <w:szCs w:val="24"/>
          <w:lang w:val="bg-BG"/>
        </w:rPr>
        <w:t>за месечни възнаграждения на новоназначени МУ – не по-ниско от 1200 лв.</w:t>
      </w:r>
      <w:r w:rsidR="00FB1603" w:rsidRPr="001C0739">
        <w:rPr>
          <w:sz w:val="24"/>
          <w:szCs w:val="24"/>
          <w:lang w:val="bg-BG"/>
        </w:rPr>
        <w:t xml:space="preserve"> </w:t>
      </w:r>
      <w:r w:rsidR="00FF7EE8" w:rsidRPr="001C0739">
        <w:rPr>
          <w:sz w:val="24"/>
          <w:szCs w:val="24"/>
          <w:lang w:val="bg-BG"/>
        </w:rPr>
        <w:t>с включени средства за осигуровки за сметка на работодател</w:t>
      </w:r>
      <w:r w:rsidR="00DB78D4" w:rsidRPr="001C0739">
        <w:rPr>
          <w:color w:val="000000" w:themeColor="text1"/>
          <w:sz w:val="24"/>
          <w:szCs w:val="24"/>
          <w:lang w:val="bg-BG"/>
        </w:rPr>
        <w:t>, н</w:t>
      </w:r>
      <w:r w:rsidR="00FB1603" w:rsidRPr="001C0739">
        <w:rPr>
          <w:color w:val="000000" w:themeColor="text1"/>
          <w:sz w:val="24"/>
          <w:szCs w:val="24"/>
          <w:lang w:val="bg-BG"/>
        </w:rPr>
        <w:t xml:space="preserve">азначаването </w:t>
      </w:r>
      <w:r w:rsidR="00DB78D4" w:rsidRPr="001C0739">
        <w:rPr>
          <w:color w:val="000000" w:themeColor="text1"/>
          <w:sz w:val="24"/>
          <w:szCs w:val="24"/>
          <w:lang w:val="bg-BG"/>
        </w:rPr>
        <w:t>се извършва от ректора на</w:t>
      </w:r>
      <w:r w:rsidR="00DB78D4" w:rsidRPr="001C0739">
        <w:rPr>
          <w:color w:val="000000" w:themeColor="text1"/>
          <w:sz w:val="24"/>
          <w:szCs w:val="24"/>
          <w:shd w:val="clear" w:color="auto" w:fill="FEFEFE"/>
          <w:lang w:val="bg-BG"/>
        </w:rPr>
        <w:t> трудов договор за срок не по-дълъг от девет месеца.</w:t>
      </w:r>
    </w:p>
    <w:p w14:paraId="61302A48" w14:textId="6D4E7EC9" w:rsidR="00A00D17" w:rsidRPr="001C0739" w:rsidRDefault="00A00D17" w:rsidP="00FB1603">
      <w:pPr>
        <w:spacing w:after="0" w:line="240" w:lineRule="auto"/>
        <w:ind w:right="0" w:firstLine="567"/>
        <w:rPr>
          <w:sz w:val="24"/>
          <w:szCs w:val="24"/>
          <w:lang w:val="bg-BG"/>
        </w:rPr>
      </w:pPr>
      <w:r w:rsidRPr="001C0739">
        <w:rPr>
          <w:sz w:val="24"/>
          <w:szCs w:val="24"/>
          <w:lang w:val="bg-BG"/>
        </w:rPr>
        <w:t xml:space="preserve">б) </w:t>
      </w:r>
      <w:r w:rsidR="00FF7EE8" w:rsidRPr="001C0739">
        <w:rPr>
          <w:sz w:val="24"/>
          <w:szCs w:val="24"/>
          <w:lang w:val="bg-BG"/>
        </w:rPr>
        <w:t>за допълнителни месечни възнаграждения на вече назначени МУ – не по-ниско от 300 лв. и не по-високо от 800 лв., с включени средства за осигуровки за сметка на работодател.</w:t>
      </w:r>
    </w:p>
    <w:p w14:paraId="00F21E8F" w14:textId="27541537" w:rsidR="00FF7EE8" w:rsidRPr="001C0739" w:rsidRDefault="00A00D17" w:rsidP="00FB1603">
      <w:pPr>
        <w:spacing w:after="0" w:line="240" w:lineRule="auto"/>
        <w:ind w:right="0" w:firstLine="567"/>
        <w:rPr>
          <w:sz w:val="24"/>
          <w:szCs w:val="24"/>
          <w:lang w:val="bg-BG"/>
        </w:rPr>
      </w:pPr>
      <w:r w:rsidRPr="001C0739">
        <w:rPr>
          <w:sz w:val="24"/>
          <w:szCs w:val="24"/>
          <w:lang w:val="bg-BG"/>
        </w:rPr>
        <w:t xml:space="preserve">в) </w:t>
      </w:r>
      <w:r w:rsidR="00FF7EE8" w:rsidRPr="001C0739">
        <w:rPr>
          <w:sz w:val="24"/>
          <w:szCs w:val="24"/>
          <w:lang w:val="bg-BG"/>
        </w:rPr>
        <w:t>за изпълнение на научноизследователските задачи (до 20% от цялата сума на гранта) – за командировки, закупуване на материали, консумативи, специализирано оборудване, информационни продукти, компютри, принтери и др.</w:t>
      </w:r>
    </w:p>
    <w:p w14:paraId="638AF6A4" w14:textId="77777777" w:rsidR="00FF7EE8" w:rsidRPr="001C0739" w:rsidRDefault="00FF7EE8" w:rsidP="00FB1603">
      <w:pPr>
        <w:pStyle w:val="ListParagraph"/>
        <w:numPr>
          <w:ilvl w:val="1"/>
          <w:numId w:val="16"/>
        </w:numPr>
        <w:spacing w:after="0" w:line="240" w:lineRule="auto"/>
        <w:ind w:left="0" w:right="0" w:firstLine="567"/>
        <w:rPr>
          <w:sz w:val="24"/>
          <w:szCs w:val="24"/>
          <w:lang w:val="bg-BG"/>
        </w:rPr>
      </w:pPr>
      <w:r w:rsidRPr="001C0739">
        <w:rPr>
          <w:sz w:val="24"/>
          <w:szCs w:val="24"/>
          <w:lang w:val="bg-BG"/>
        </w:rPr>
        <w:t>Допустими разходи за организацията-бенефициент:</w:t>
      </w:r>
    </w:p>
    <w:p w14:paraId="502F3E69" w14:textId="1290FD45" w:rsidR="00FF7EE8" w:rsidRPr="001C0739" w:rsidRDefault="001C76C7" w:rsidP="00FB1603">
      <w:pPr>
        <w:spacing w:after="0" w:line="240" w:lineRule="auto"/>
        <w:ind w:right="0" w:firstLine="567"/>
        <w:rPr>
          <w:sz w:val="24"/>
          <w:szCs w:val="24"/>
          <w:lang w:val="bg-BG"/>
        </w:rPr>
      </w:pPr>
      <w:r w:rsidRPr="001C0739">
        <w:rPr>
          <w:sz w:val="24"/>
          <w:szCs w:val="24"/>
          <w:lang w:val="bg-BG"/>
        </w:rPr>
        <w:t>а) з</w:t>
      </w:r>
      <w:r w:rsidR="00FF7EE8" w:rsidRPr="001C0739">
        <w:rPr>
          <w:sz w:val="24"/>
          <w:szCs w:val="24"/>
          <w:lang w:val="bg-BG"/>
        </w:rPr>
        <w:t>а оценка на кандидатите се допуска до 1% от предвидената за модула от организацията - бенефициент сума.</w:t>
      </w:r>
    </w:p>
    <w:p w14:paraId="3F7A2786" w14:textId="284A46DF" w:rsidR="00FF7EE8" w:rsidRPr="001C0739" w:rsidRDefault="00EF6836" w:rsidP="00FB1603">
      <w:pPr>
        <w:spacing w:after="0" w:line="240" w:lineRule="auto"/>
        <w:ind w:right="0" w:firstLine="567"/>
        <w:rPr>
          <w:sz w:val="24"/>
          <w:szCs w:val="24"/>
          <w:lang w:val="bg-BG"/>
        </w:rPr>
      </w:pPr>
      <w:r>
        <w:rPr>
          <w:b/>
          <w:bCs/>
          <w:sz w:val="24"/>
          <w:szCs w:val="24"/>
          <w:lang w:val="bg-BG"/>
        </w:rPr>
        <w:t>(2</w:t>
      </w:r>
      <w:r w:rsidR="00591336" w:rsidRPr="001C0739">
        <w:rPr>
          <w:b/>
          <w:bCs/>
          <w:sz w:val="24"/>
          <w:szCs w:val="24"/>
          <w:lang w:val="bg-BG"/>
        </w:rPr>
        <w:t xml:space="preserve">) </w:t>
      </w:r>
      <w:r w:rsidR="00FF7EE8" w:rsidRPr="001C0739">
        <w:rPr>
          <w:b/>
          <w:bCs/>
          <w:sz w:val="24"/>
          <w:szCs w:val="24"/>
          <w:lang w:val="bg-BG"/>
        </w:rPr>
        <w:t>За модул „</w:t>
      </w:r>
      <w:proofErr w:type="spellStart"/>
      <w:r w:rsidR="00FF7EE8" w:rsidRPr="001C0739">
        <w:rPr>
          <w:b/>
          <w:bCs/>
          <w:sz w:val="24"/>
          <w:szCs w:val="24"/>
          <w:lang w:val="bg-BG"/>
        </w:rPr>
        <w:t>Постдокторанти</w:t>
      </w:r>
      <w:proofErr w:type="spellEnd"/>
      <w:r w:rsidR="00FF7EE8" w:rsidRPr="001C0739">
        <w:rPr>
          <w:b/>
          <w:bCs/>
          <w:sz w:val="24"/>
          <w:szCs w:val="24"/>
          <w:lang w:val="bg-BG"/>
        </w:rPr>
        <w:t>“:</w:t>
      </w:r>
    </w:p>
    <w:p w14:paraId="3E16DD99" w14:textId="5CFAF333" w:rsidR="00A00D17" w:rsidRPr="001C0739" w:rsidRDefault="001C76C7" w:rsidP="00FB1603">
      <w:pPr>
        <w:spacing w:after="0" w:line="240" w:lineRule="auto"/>
        <w:ind w:right="0" w:firstLine="567"/>
        <w:rPr>
          <w:sz w:val="24"/>
          <w:szCs w:val="24"/>
          <w:lang w:val="bg-BG"/>
        </w:rPr>
      </w:pPr>
      <w:r w:rsidRPr="001C0739">
        <w:rPr>
          <w:sz w:val="24"/>
          <w:szCs w:val="24"/>
          <w:lang w:val="bg-BG"/>
        </w:rPr>
        <w:t>1.</w:t>
      </w:r>
      <w:r w:rsidR="00A00D17" w:rsidRPr="001C0739">
        <w:rPr>
          <w:sz w:val="24"/>
          <w:szCs w:val="24"/>
          <w:lang w:val="bg-BG"/>
        </w:rPr>
        <w:t xml:space="preserve"> </w:t>
      </w:r>
      <w:r w:rsidR="00FF7EE8" w:rsidRPr="001C0739">
        <w:rPr>
          <w:sz w:val="24"/>
          <w:szCs w:val="24"/>
          <w:lang w:val="bg-BG"/>
        </w:rPr>
        <w:t>До 85% за месечно възнаграждение – средствата по модула могат да бъдат използвани както за основни месечни възнаграждения на новоназначени ПД, така и за допълнителни месечни възнаграждения на вече назначени в организацията бенефициент ПД, както следва:</w:t>
      </w:r>
    </w:p>
    <w:p w14:paraId="71278804" w14:textId="134C4EF1" w:rsidR="00A00D17" w:rsidRPr="001C0739" w:rsidRDefault="001C76C7" w:rsidP="00DB78D4">
      <w:pPr>
        <w:spacing w:after="0" w:line="240" w:lineRule="auto"/>
        <w:ind w:right="0" w:firstLine="567"/>
        <w:rPr>
          <w:color w:val="000000" w:themeColor="text1"/>
          <w:sz w:val="24"/>
          <w:szCs w:val="24"/>
          <w:lang w:val="bg-BG"/>
        </w:rPr>
      </w:pPr>
      <w:r w:rsidRPr="001C0739">
        <w:rPr>
          <w:sz w:val="24"/>
          <w:szCs w:val="24"/>
          <w:lang w:val="bg-BG"/>
        </w:rPr>
        <w:t>а)</w:t>
      </w:r>
      <w:r w:rsidR="00A00D17" w:rsidRPr="001C0739">
        <w:rPr>
          <w:sz w:val="24"/>
          <w:szCs w:val="24"/>
          <w:lang w:val="bg-BG"/>
        </w:rPr>
        <w:t xml:space="preserve"> </w:t>
      </w:r>
      <w:r w:rsidR="00FF7EE8" w:rsidRPr="001C0739">
        <w:rPr>
          <w:sz w:val="24"/>
          <w:szCs w:val="24"/>
          <w:lang w:val="bg-BG"/>
        </w:rPr>
        <w:t xml:space="preserve">за новоназначени в организацията бенефициент </w:t>
      </w:r>
      <w:proofErr w:type="spellStart"/>
      <w:r w:rsidR="00FF7EE8" w:rsidRPr="001C0739">
        <w:rPr>
          <w:sz w:val="24"/>
          <w:szCs w:val="24"/>
          <w:lang w:val="bg-BG"/>
        </w:rPr>
        <w:t>постдокторанти</w:t>
      </w:r>
      <w:proofErr w:type="spellEnd"/>
      <w:r w:rsidR="00FF7EE8" w:rsidRPr="001C0739">
        <w:rPr>
          <w:sz w:val="24"/>
          <w:szCs w:val="24"/>
          <w:lang w:val="bg-BG"/>
        </w:rPr>
        <w:t xml:space="preserve"> – не по-ниско от 2000 лв. и не по-високо от 3000 лв. (с включени средства за осигуровки за сметка на работодател и за допълнителни възнаграждения за образователна и научна степен „доктор“)</w:t>
      </w:r>
      <w:r w:rsidR="00DB78D4" w:rsidRPr="001C0739">
        <w:rPr>
          <w:sz w:val="24"/>
          <w:szCs w:val="24"/>
          <w:lang w:val="bg-BG"/>
        </w:rPr>
        <w:t xml:space="preserve">, </w:t>
      </w:r>
      <w:bookmarkStart w:id="2" w:name="_Hlk113442439"/>
      <w:r w:rsidR="00DB78D4" w:rsidRPr="001C0739">
        <w:rPr>
          <w:color w:val="000000" w:themeColor="text1"/>
          <w:sz w:val="24"/>
          <w:szCs w:val="24"/>
          <w:lang w:val="bg-BG"/>
        </w:rPr>
        <w:t>назначаването се извършва от ректора на</w:t>
      </w:r>
      <w:r w:rsidR="00DB78D4" w:rsidRPr="001C0739">
        <w:rPr>
          <w:color w:val="000000" w:themeColor="text1"/>
          <w:sz w:val="24"/>
          <w:szCs w:val="24"/>
          <w:shd w:val="clear" w:color="auto" w:fill="FEFEFE"/>
          <w:lang w:val="bg-BG"/>
        </w:rPr>
        <w:t> трудов договор за срок не по-дълъг от единадесет месеца.</w:t>
      </w:r>
      <w:bookmarkEnd w:id="2"/>
    </w:p>
    <w:p w14:paraId="5CC6ECA2" w14:textId="3567A077" w:rsidR="00FF7EE8" w:rsidRPr="001C0739" w:rsidRDefault="001C76C7" w:rsidP="00FB1603">
      <w:pPr>
        <w:spacing w:after="0" w:line="240" w:lineRule="auto"/>
        <w:ind w:right="0" w:firstLine="567"/>
        <w:rPr>
          <w:sz w:val="24"/>
          <w:szCs w:val="24"/>
          <w:lang w:val="bg-BG"/>
        </w:rPr>
      </w:pPr>
      <w:r w:rsidRPr="001C0739">
        <w:rPr>
          <w:color w:val="000000" w:themeColor="text1"/>
          <w:sz w:val="24"/>
          <w:szCs w:val="24"/>
          <w:lang w:val="bg-BG"/>
        </w:rPr>
        <w:t>б)</w:t>
      </w:r>
      <w:r w:rsidR="00A00D17" w:rsidRPr="001C0739">
        <w:rPr>
          <w:color w:val="000000" w:themeColor="text1"/>
          <w:sz w:val="24"/>
          <w:szCs w:val="24"/>
          <w:lang w:val="bg-BG"/>
        </w:rPr>
        <w:t xml:space="preserve"> </w:t>
      </w:r>
      <w:r w:rsidR="00FF7EE8" w:rsidRPr="001C0739">
        <w:rPr>
          <w:color w:val="000000" w:themeColor="text1"/>
          <w:sz w:val="24"/>
          <w:szCs w:val="24"/>
          <w:lang w:val="bg-BG"/>
        </w:rPr>
        <w:t>за допълнителни месечни възнаграждения на ПД, служители на организацията</w:t>
      </w:r>
      <w:r w:rsidR="00FF7EE8" w:rsidRPr="001C0739">
        <w:rPr>
          <w:sz w:val="24"/>
          <w:szCs w:val="24"/>
          <w:lang w:val="bg-BG"/>
        </w:rPr>
        <w:t>-бенефициент – не по-ниско от 400 лв. и не по-високо от 800 лв. (с включени средства за осигуровки за сметка на работодател).</w:t>
      </w:r>
    </w:p>
    <w:p w14:paraId="5670EF6C" w14:textId="34DEC5F0" w:rsidR="00FF7EE8" w:rsidRPr="001C0739" w:rsidRDefault="001C76C7" w:rsidP="00FB1603">
      <w:pPr>
        <w:spacing w:after="0" w:line="240" w:lineRule="auto"/>
        <w:ind w:right="0" w:firstLine="567"/>
        <w:rPr>
          <w:sz w:val="24"/>
          <w:szCs w:val="24"/>
          <w:lang w:val="bg-BG"/>
        </w:rPr>
      </w:pPr>
      <w:r w:rsidRPr="001C0739">
        <w:rPr>
          <w:sz w:val="24"/>
          <w:szCs w:val="24"/>
          <w:lang w:val="bg-BG"/>
        </w:rPr>
        <w:t xml:space="preserve">2. </w:t>
      </w:r>
      <w:r w:rsidR="00A00D17" w:rsidRPr="001C0739">
        <w:rPr>
          <w:sz w:val="24"/>
          <w:szCs w:val="24"/>
          <w:lang w:val="bg-BG"/>
        </w:rPr>
        <w:t xml:space="preserve"> </w:t>
      </w:r>
      <w:r w:rsidR="00FF7EE8" w:rsidRPr="001C0739">
        <w:rPr>
          <w:sz w:val="24"/>
          <w:szCs w:val="24"/>
          <w:lang w:val="bg-BG"/>
        </w:rPr>
        <w:t>до 15% от средствата по проекта могат да се използват за мобилност: за командировки (пътни, дневни и квартирни), теренна работа, заплащане на такси за правоучастие в научни форуми.</w:t>
      </w:r>
    </w:p>
    <w:p w14:paraId="1D2B4A86" w14:textId="27A4A779" w:rsidR="00A00D17" w:rsidRPr="001C0739" w:rsidRDefault="001C76C7" w:rsidP="00FB1603">
      <w:pPr>
        <w:spacing w:after="0" w:line="240" w:lineRule="auto"/>
        <w:ind w:right="0" w:firstLine="567"/>
        <w:rPr>
          <w:sz w:val="24"/>
          <w:szCs w:val="24"/>
          <w:lang w:val="bg-BG"/>
        </w:rPr>
      </w:pPr>
      <w:r w:rsidRPr="001C0739">
        <w:rPr>
          <w:sz w:val="24"/>
          <w:szCs w:val="24"/>
          <w:lang w:val="bg-BG"/>
        </w:rPr>
        <w:lastRenderedPageBreak/>
        <w:t>3.</w:t>
      </w:r>
      <w:r w:rsidR="00A00D17" w:rsidRPr="001C0739">
        <w:rPr>
          <w:sz w:val="24"/>
          <w:szCs w:val="24"/>
          <w:lang w:val="bg-BG"/>
        </w:rPr>
        <w:t xml:space="preserve"> </w:t>
      </w:r>
      <w:r w:rsidR="00FF7EE8" w:rsidRPr="001C0739">
        <w:rPr>
          <w:sz w:val="24"/>
          <w:szCs w:val="24"/>
          <w:lang w:val="bg-BG"/>
        </w:rPr>
        <w:t>до 25% от средствата по проекта могат да се използват за материали и консумативи, необходими за осъществяване на научните изследвания в приемащата организация-бенефициент;</w:t>
      </w:r>
    </w:p>
    <w:p w14:paraId="5532E983" w14:textId="0E3A8D09" w:rsidR="00FF7EE8" w:rsidRPr="001C0739" w:rsidRDefault="001C76C7" w:rsidP="00FB1603">
      <w:pPr>
        <w:spacing w:after="0" w:line="240" w:lineRule="auto"/>
        <w:ind w:right="0" w:firstLine="567"/>
        <w:rPr>
          <w:sz w:val="24"/>
          <w:szCs w:val="24"/>
          <w:lang w:val="bg-BG"/>
        </w:rPr>
      </w:pPr>
      <w:r w:rsidRPr="001C0739">
        <w:rPr>
          <w:sz w:val="24"/>
          <w:szCs w:val="24"/>
          <w:lang w:val="bg-BG"/>
        </w:rPr>
        <w:t>4.</w:t>
      </w:r>
      <w:r w:rsidR="00A00D17" w:rsidRPr="001C0739">
        <w:rPr>
          <w:sz w:val="24"/>
          <w:szCs w:val="24"/>
          <w:lang w:val="bg-BG"/>
        </w:rPr>
        <w:t xml:space="preserve"> </w:t>
      </w:r>
      <w:r w:rsidR="00FF7EE8" w:rsidRPr="001C0739">
        <w:rPr>
          <w:sz w:val="24"/>
          <w:szCs w:val="24"/>
          <w:lang w:val="bg-BG"/>
        </w:rPr>
        <w:t xml:space="preserve">При назначаване на ПД от друга държава или от друго населено място от това на </w:t>
      </w:r>
      <w:r w:rsidR="00DC2308" w:rsidRPr="001C0739">
        <w:rPr>
          <w:sz w:val="24"/>
          <w:szCs w:val="24"/>
          <w:lang w:val="bg-BG"/>
        </w:rPr>
        <w:t xml:space="preserve">Икономически университет – Варна </w:t>
      </w:r>
      <w:r w:rsidR="00FF7EE8" w:rsidRPr="001C0739">
        <w:rPr>
          <w:sz w:val="24"/>
          <w:szCs w:val="24"/>
          <w:lang w:val="bg-BG"/>
        </w:rPr>
        <w:t>се отпускат допълнително до 1000 лв. месечно за квартирни разходи.</w:t>
      </w:r>
    </w:p>
    <w:p w14:paraId="47D67590" w14:textId="1CCA5152" w:rsidR="00A00D17" w:rsidRPr="001C0739" w:rsidRDefault="001C76C7" w:rsidP="00FB1603">
      <w:pPr>
        <w:spacing w:after="0" w:line="240" w:lineRule="auto"/>
        <w:ind w:right="0" w:firstLine="567"/>
        <w:rPr>
          <w:sz w:val="24"/>
          <w:szCs w:val="24"/>
          <w:lang w:val="bg-BG"/>
        </w:rPr>
      </w:pPr>
      <w:r w:rsidRPr="001C0739">
        <w:rPr>
          <w:sz w:val="24"/>
          <w:szCs w:val="24"/>
          <w:lang w:val="bg-BG"/>
        </w:rPr>
        <w:t>5</w:t>
      </w:r>
      <w:r w:rsidR="00A00D17" w:rsidRPr="001C0739">
        <w:rPr>
          <w:sz w:val="24"/>
          <w:szCs w:val="24"/>
          <w:lang w:val="bg-BG"/>
        </w:rPr>
        <w:t xml:space="preserve">. </w:t>
      </w:r>
      <w:r w:rsidR="00FF7EE8" w:rsidRPr="001C0739">
        <w:rPr>
          <w:sz w:val="24"/>
          <w:szCs w:val="24"/>
          <w:lang w:val="bg-BG"/>
        </w:rPr>
        <w:t>Допустими разходи за организацията-бенефициент:</w:t>
      </w:r>
    </w:p>
    <w:p w14:paraId="53F7CFEE" w14:textId="756CE609" w:rsidR="00A00D17" w:rsidRPr="001C0739" w:rsidRDefault="00A00D17" w:rsidP="00FB1603">
      <w:pPr>
        <w:spacing w:after="0" w:line="240" w:lineRule="auto"/>
        <w:ind w:right="0" w:firstLine="567"/>
        <w:rPr>
          <w:sz w:val="24"/>
          <w:szCs w:val="24"/>
          <w:lang w:val="bg-BG"/>
        </w:rPr>
      </w:pPr>
      <w:r w:rsidRPr="001C0739">
        <w:rPr>
          <w:sz w:val="24"/>
          <w:szCs w:val="24"/>
          <w:lang w:val="bg-BG"/>
        </w:rPr>
        <w:t xml:space="preserve">а) </w:t>
      </w:r>
      <w:r w:rsidR="00FF7EE8" w:rsidRPr="001C0739">
        <w:rPr>
          <w:sz w:val="24"/>
          <w:szCs w:val="24"/>
          <w:lang w:val="bg-BG"/>
        </w:rPr>
        <w:t>до 5% непреки разходи – за режийни и за административно обслужване на проекта от организацията-бенефициент.</w:t>
      </w:r>
    </w:p>
    <w:p w14:paraId="30EC229B" w14:textId="5F50EB86" w:rsidR="00A00D17" w:rsidRPr="001C0739" w:rsidRDefault="00A00D17" w:rsidP="00FB1603">
      <w:pPr>
        <w:spacing w:after="0" w:line="240" w:lineRule="auto"/>
        <w:ind w:right="0" w:firstLine="567"/>
        <w:rPr>
          <w:sz w:val="24"/>
          <w:szCs w:val="24"/>
          <w:lang w:val="bg-BG"/>
        </w:rPr>
      </w:pPr>
      <w:r w:rsidRPr="001C0739">
        <w:rPr>
          <w:sz w:val="24"/>
          <w:szCs w:val="24"/>
          <w:lang w:val="bg-BG"/>
        </w:rPr>
        <w:t xml:space="preserve">б) </w:t>
      </w:r>
      <w:r w:rsidR="00FF7EE8" w:rsidRPr="001C0739">
        <w:rPr>
          <w:sz w:val="24"/>
          <w:szCs w:val="24"/>
          <w:lang w:val="bg-BG"/>
        </w:rPr>
        <w:t>до 4% за оценка на проектните предложения и отчетите.</w:t>
      </w:r>
    </w:p>
    <w:p w14:paraId="52C692A2" w14:textId="4FF90816" w:rsidR="00A00D17" w:rsidRPr="001C0739" w:rsidRDefault="00DF2B40" w:rsidP="00FB1603">
      <w:pPr>
        <w:spacing w:after="0" w:line="240" w:lineRule="auto"/>
        <w:ind w:right="0" w:firstLine="567"/>
        <w:rPr>
          <w:color w:val="auto"/>
          <w:sz w:val="24"/>
          <w:szCs w:val="24"/>
          <w:lang w:val="bg-BG"/>
        </w:rPr>
      </w:pPr>
      <w:r w:rsidRPr="001C0739">
        <w:rPr>
          <w:b/>
          <w:color w:val="auto"/>
          <w:sz w:val="24"/>
          <w:szCs w:val="24"/>
          <w:lang w:val="bg-BG"/>
        </w:rPr>
        <w:t xml:space="preserve">Чл. </w:t>
      </w:r>
      <w:r w:rsidR="00A00D17" w:rsidRPr="001C0739">
        <w:rPr>
          <w:b/>
          <w:color w:val="auto"/>
          <w:sz w:val="24"/>
          <w:szCs w:val="24"/>
          <w:lang w:val="bg-BG"/>
        </w:rPr>
        <w:t>1</w:t>
      </w:r>
      <w:r w:rsidR="00A37556" w:rsidRPr="001C0739">
        <w:rPr>
          <w:b/>
          <w:color w:val="auto"/>
          <w:sz w:val="24"/>
          <w:szCs w:val="24"/>
          <w:lang w:val="bg-BG"/>
        </w:rPr>
        <w:t>0</w:t>
      </w:r>
      <w:r w:rsidR="00A00D17" w:rsidRPr="001C0739">
        <w:rPr>
          <w:b/>
          <w:color w:val="auto"/>
          <w:sz w:val="24"/>
          <w:szCs w:val="24"/>
          <w:lang w:val="bg-BG"/>
        </w:rPr>
        <w:t>.</w:t>
      </w:r>
      <w:r w:rsidR="00A00D17" w:rsidRPr="001C0739">
        <w:rPr>
          <w:color w:val="auto"/>
          <w:sz w:val="24"/>
          <w:szCs w:val="24"/>
          <w:lang w:val="bg-BG"/>
        </w:rPr>
        <w:t xml:space="preserve"> </w:t>
      </w:r>
      <w:r w:rsidR="007D345D" w:rsidRPr="001C0739">
        <w:rPr>
          <w:color w:val="auto"/>
          <w:sz w:val="24"/>
          <w:szCs w:val="24"/>
          <w:lang w:val="bg-BG"/>
        </w:rPr>
        <w:t>Одобрените кандидати по тази програма не могат да получават за същата дейност, обект на договори</w:t>
      </w:r>
      <w:r w:rsidR="00A00D17" w:rsidRPr="001C0739">
        <w:rPr>
          <w:color w:val="auto"/>
          <w:sz w:val="24"/>
          <w:szCs w:val="24"/>
          <w:lang w:val="bg-BG"/>
        </w:rPr>
        <w:t>т</w:t>
      </w:r>
      <w:r w:rsidR="007D345D" w:rsidRPr="001C0739">
        <w:rPr>
          <w:color w:val="auto"/>
          <w:sz w:val="24"/>
          <w:szCs w:val="24"/>
          <w:lang w:val="bg-BG"/>
        </w:rPr>
        <w:t>е им, допълнителни възнаграждения или допълнителни стипендии по други сходни програми с национално финансиране, финансиране от ЕС или други финансиращи програми. Лица, които получават допълнително финансиране по други програми не могат да кандидатстват по настоящата със същата дейност, заради която вече получават друго възнаг</w:t>
      </w:r>
      <w:r w:rsidR="00A00D17" w:rsidRPr="001C0739">
        <w:rPr>
          <w:color w:val="auto"/>
          <w:sz w:val="24"/>
          <w:szCs w:val="24"/>
          <w:lang w:val="bg-BG"/>
        </w:rPr>
        <w:t>ражден</w:t>
      </w:r>
      <w:r w:rsidR="007D345D" w:rsidRPr="001C0739">
        <w:rPr>
          <w:color w:val="auto"/>
          <w:sz w:val="24"/>
          <w:szCs w:val="24"/>
          <w:lang w:val="bg-BG"/>
        </w:rPr>
        <w:t>ие.</w:t>
      </w:r>
    </w:p>
    <w:p w14:paraId="1E1F7A82" w14:textId="7EBFF8FB" w:rsidR="00DF2B40" w:rsidRPr="001C0739" w:rsidRDefault="00DF2B40" w:rsidP="00FB1603">
      <w:pPr>
        <w:spacing w:after="0" w:line="240" w:lineRule="auto"/>
        <w:ind w:right="0" w:firstLine="567"/>
        <w:rPr>
          <w:color w:val="000000" w:themeColor="text1"/>
          <w:spacing w:val="2"/>
          <w:sz w:val="24"/>
          <w:szCs w:val="24"/>
          <w:shd w:val="clear" w:color="auto" w:fill="FFFFFF"/>
          <w:lang w:val="bg-BG"/>
        </w:rPr>
      </w:pPr>
      <w:r w:rsidRPr="001C0739">
        <w:rPr>
          <w:b/>
          <w:color w:val="000000" w:themeColor="text1"/>
          <w:sz w:val="24"/>
          <w:szCs w:val="24"/>
          <w:lang w:val="bg-BG"/>
        </w:rPr>
        <w:t xml:space="preserve">Чл. </w:t>
      </w:r>
      <w:r w:rsidR="00A00D17" w:rsidRPr="001C0739">
        <w:rPr>
          <w:b/>
          <w:color w:val="000000" w:themeColor="text1"/>
          <w:sz w:val="24"/>
          <w:szCs w:val="24"/>
          <w:lang w:val="bg-BG"/>
        </w:rPr>
        <w:t>1</w:t>
      </w:r>
      <w:r w:rsidR="00A37556" w:rsidRPr="001C0739">
        <w:rPr>
          <w:b/>
          <w:color w:val="000000" w:themeColor="text1"/>
          <w:sz w:val="24"/>
          <w:szCs w:val="24"/>
          <w:lang w:val="bg-BG"/>
        </w:rPr>
        <w:t>1</w:t>
      </w:r>
      <w:r w:rsidR="00A00D17" w:rsidRPr="001C0739">
        <w:rPr>
          <w:b/>
          <w:color w:val="000000" w:themeColor="text1"/>
          <w:sz w:val="24"/>
          <w:szCs w:val="24"/>
          <w:lang w:val="bg-BG"/>
        </w:rPr>
        <w:t>.</w:t>
      </w:r>
      <w:r w:rsidR="00A00D17" w:rsidRPr="001C0739">
        <w:rPr>
          <w:color w:val="000000" w:themeColor="text1"/>
          <w:sz w:val="24"/>
          <w:szCs w:val="24"/>
          <w:lang w:val="bg-BG"/>
        </w:rPr>
        <w:t xml:space="preserve"> </w:t>
      </w:r>
      <w:r w:rsidR="005F75EA" w:rsidRPr="001C0739">
        <w:rPr>
          <w:color w:val="000000" w:themeColor="text1"/>
          <w:spacing w:val="2"/>
          <w:sz w:val="24"/>
          <w:szCs w:val="24"/>
          <w:shd w:val="clear" w:color="auto" w:fill="FFFFFF"/>
          <w:lang w:val="bg-BG"/>
        </w:rPr>
        <w:t>Кандидатстването за финансиране</w:t>
      </w:r>
      <w:r w:rsidR="001C76C7" w:rsidRPr="001C0739">
        <w:rPr>
          <w:color w:val="000000" w:themeColor="text1"/>
          <w:spacing w:val="2"/>
          <w:sz w:val="24"/>
          <w:szCs w:val="24"/>
          <w:shd w:val="clear" w:color="auto" w:fill="FFFFFF"/>
          <w:lang w:val="bg-BG"/>
        </w:rPr>
        <w:t>, класирането, изпълнението и отчитането на получените средства се извършва</w:t>
      </w:r>
      <w:r w:rsidR="005F75EA" w:rsidRPr="001C0739">
        <w:rPr>
          <w:color w:val="000000" w:themeColor="text1"/>
          <w:spacing w:val="2"/>
          <w:sz w:val="24"/>
          <w:szCs w:val="24"/>
          <w:shd w:val="clear" w:color="auto" w:fill="FFFFFF"/>
          <w:lang w:val="bg-BG"/>
        </w:rPr>
        <w:t xml:space="preserve"> </w:t>
      </w:r>
      <w:r w:rsidR="001C76C7" w:rsidRPr="001C0739">
        <w:rPr>
          <w:color w:val="000000" w:themeColor="text1"/>
          <w:spacing w:val="2"/>
          <w:sz w:val="24"/>
          <w:szCs w:val="24"/>
          <w:shd w:val="clear" w:color="auto" w:fill="FFFFFF"/>
          <w:lang w:val="bg-BG"/>
        </w:rPr>
        <w:t>по ред и условия</w:t>
      </w:r>
      <w:r w:rsidR="005F75EA" w:rsidRPr="001C0739">
        <w:rPr>
          <w:color w:val="000000" w:themeColor="text1"/>
          <w:spacing w:val="2"/>
          <w:sz w:val="24"/>
          <w:szCs w:val="24"/>
          <w:shd w:val="clear" w:color="auto" w:fill="FFFFFF"/>
          <w:lang w:val="bg-BG"/>
        </w:rPr>
        <w:t xml:space="preserve"> </w:t>
      </w:r>
      <w:r w:rsidR="001C76C7" w:rsidRPr="001C0739">
        <w:rPr>
          <w:color w:val="000000" w:themeColor="text1"/>
          <w:spacing w:val="2"/>
          <w:sz w:val="24"/>
          <w:szCs w:val="24"/>
          <w:shd w:val="clear" w:color="auto" w:fill="FFFFFF"/>
          <w:lang w:val="bg-BG"/>
        </w:rPr>
        <w:t>определени</w:t>
      </w:r>
      <w:r w:rsidRPr="001C0739">
        <w:rPr>
          <w:color w:val="000000" w:themeColor="text1"/>
          <w:spacing w:val="2"/>
          <w:sz w:val="24"/>
          <w:szCs w:val="24"/>
          <w:shd w:val="clear" w:color="auto" w:fill="FFFFFF"/>
          <w:lang w:val="bg-BG"/>
        </w:rPr>
        <w:t xml:space="preserve"> в Правилата за прозрачен конкурсен подбор на кандидати по модул „Млади учени и </w:t>
      </w:r>
      <w:proofErr w:type="spellStart"/>
      <w:r w:rsidRPr="001C0739">
        <w:rPr>
          <w:color w:val="000000" w:themeColor="text1"/>
          <w:spacing w:val="2"/>
          <w:sz w:val="24"/>
          <w:szCs w:val="24"/>
          <w:shd w:val="clear" w:color="auto" w:fill="FFFFFF"/>
          <w:lang w:val="bg-BG"/>
        </w:rPr>
        <w:t>постдокторанти</w:t>
      </w:r>
      <w:proofErr w:type="spellEnd"/>
      <w:r w:rsidRPr="001C0739">
        <w:rPr>
          <w:color w:val="000000" w:themeColor="text1"/>
          <w:spacing w:val="2"/>
          <w:sz w:val="24"/>
          <w:szCs w:val="24"/>
          <w:shd w:val="clear" w:color="auto" w:fill="FFFFFF"/>
          <w:lang w:val="bg-BG"/>
        </w:rPr>
        <w:t xml:space="preserve"> по национална програма „Млади учени и </w:t>
      </w:r>
      <w:proofErr w:type="spellStart"/>
      <w:r w:rsidRPr="001C0739">
        <w:rPr>
          <w:color w:val="000000" w:themeColor="text1"/>
          <w:spacing w:val="2"/>
          <w:sz w:val="24"/>
          <w:szCs w:val="24"/>
          <w:shd w:val="clear" w:color="auto" w:fill="FFFFFF"/>
          <w:lang w:val="bg-BG"/>
        </w:rPr>
        <w:t>постдокторанти</w:t>
      </w:r>
      <w:proofErr w:type="spellEnd"/>
      <w:r w:rsidRPr="001C0739">
        <w:rPr>
          <w:color w:val="000000" w:themeColor="text1"/>
          <w:spacing w:val="2"/>
          <w:sz w:val="24"/>
          <w:szCs w:val="24"/>
          <w:shd w:val="clear" w:color="auto" w:fill="FFFFFF"/>
          <w:lang w:val="bg-BG"/>
        </w:rPr>
        <w:t xml:space="preserve"> – 2“  в структурните звена на Икономически университет – Варна.</w:t>
      </w:r>
    </w:p>
    <w:p w14:paraId="18A0B498" w14:textId="77777777" w:rsidR="00DF2B40" w:rsidRPr="001C0739" w:rsidRDefault="00DF2B40" w:rsidP="00FB1603">
      <w:pPr>
        <w:spacing w:after="0" w:line="240" w:lineRule="auto"/>
        <w:ind w:right="0" w:firstLine="567"/>
        <w:rPr>
          <w:color w:val="202124"/>
          <w:spacing w:val="2"/>
          <w:sz w:val="24"/>
          <w:szCs w:val="24"/>
          <w:shd w:val="clear" w:color="auto" w:fill="FFFFFF"/>
          <w:lang w:val="bg-BG"/>
        </w:rPr>
      </w:pPr>
    </w:p>
    <w:p w14:paraId="3049C46D" w14:textId="19E2DE55" w:rsidR="002F5A1A" w:rsidRPr="001C0739" w:rsidRDefault="00FB1603" w:rsidP="00FB1603">
      <w:pPr>
        <w:pStyle w:val="Heading1"/>
        <w:ind w:left="0" w:firstLine="567"/>
        <w:rPr>
          <w:sz w:val="24"/>
          <w:szCs w:val="24"/>
          <w:lang w:val="bg-BG"/>
        </w:rPr>
      </w:pPr>
      <w:r w:rsidRPr="001C0739">
        <w:rPr>
          <w:sz w:val="24"/>
          <w:szCs w:val="24"/>
          <w:lang w:val="bg-BG"/>
        </w:rPr>
        <w:t>III.</w:t>
      </w:r>
      <w:r w:rsidR="002F5A1A" w:rsidRPr="001C0739">
        <w:rPr>
          <w:sz w:val="24"/>
          <w:szCs w:val="24"/>
          <w:lang w:val="bg-BG"/>
        </w:rPr>
        <w:t xml:space="preserve"> </w:t>
      </w:r>
      <w:r w:rsidR="00FF7EE8" w:rsidRPr="001C0739">
        <w:rPr>
          <w:sz w:val="24"/>
          <w:szCs w:val="24"/>
          <w:lang w:val="bg-BG"/>
        </w:rPr>
        <w:t xml:space="preserve">МОНИТОРИНГ И </w:t>
      </w:r>
      <w:r w:rsidR="002F5A1A" w:rsidRPr="001C0739">
        <w:rPr>
          <w:sz w:val="24"/>
          <w:szCs w:val="24"/>
          <w:lang w:val="bg-BG"/>
        </w:rPr>
        <w:t>ОТЧИТАНЕ НА ИЗПЪЛНЕНИЕТО</w:t>
      </w:r>
      <w:r w:rsidR="002F5A1A" w:rsidRPr="001C0739">
        <w:rPr>
          <w:b w:val="0"/>
          <w:sz w:val="24"/>
          <w:szCs w:val="24"/>
          <w:lang w:val="bg-BG"/>
        </w:rPr>
        <w:t xml:space="preserve"> </w:t>
      </w:r>
    </w:p>
    <w:p w14:paraId="1F44D9CE" w14:textId="36E2C75F" w:rsidR="00A00D17" w:rsidRPr="001C0739" w:rsidRDefault="00DF2B40" w:rsidP="00FB1603">
      <w:pPr>
        <w:spacing w:after="0" w:line="240" w:lineRule="auto"/>
        <w:ind w:right="0" w:firstLine="567"/>
        <w:rPr>
          <w:color w:val="000000" w:themeColor="text1"/>
          <w:spacing w:val="2"/>
          <w:sz w:val="24"/>
          <w:szCs w:val="24"/>
          <w:shd w:val="clear" w:color="auto" w:fill="FFFFFF"/>
          <w:lang w:val="bg-BG"/>
        </w:rPr>
      </w:pPr>
      <w:r w:rsidRPr="001C0739">
        <w:rPr>
          <w:b/>
          <w:color w:val="000000" w:themeColor="text1"/>
          <w:spacing w:val="2"/>
          <w:sz w:val="24"/>
          <w:szCs w:val="24"/>
          <w:shd w:val="clear" w:color="auto" w:fill="FFFFFF"/>
          <w:lang w:val="bg-BG"/>
        </w:rPr>
        <w:t xml:space="preserve">Чл. </w:t>
      </w:r>
      <w:r w:rsidR="00A00D17" w:rsidRPr="001C0739">
        <w:rPr>
          <w:b/>
          <w:color w:val="000000" w:themeColor="text1"/>
          <w:spacing w:val="2"/>
          <w:sz w:val="24"/>
          <w:szCs w:val="24"/>
          <w:shd w:val="clear" w:color="auto" w:fill="FFFFFF"/>
          <w:lang w:val="bg-BG"/>
        </w:rPr>
        <w:t>1</w:t>
      </w:r>
      <w:r w:rsidR="00A37556" w:rsidRPr="001C0739">
        <w:rPr>
          <w:b/>
          <w:color w:val="000000" w:themeColor="text1"/>
          <w:spacing w:val="2"/>
          <w:sz w:val="24"/>
          <w:szCs w:val="24"/>
          <w:shd w:val="clear" w:color="auto" w:fill="FFFFFF"/>
          <w:lang w:val="bg-BG"/>
        </w:rPr>
        <w:t>2</w:t>
      </w:r>
      <w:r w:rsidR="00A00D17" w:rsidRPr="001C0739">
        <w:rPr>
          <w:b/>
          <w:color w:val="000000" w:themeColor="text1"/>
          <w:spacing w:val="2"/>
          <w:sz w:val="24"/>
          <w:szCs w:val="24"/>
          <w:shd w:val="clear" w:color="auto" w:fill="FFFFFF"/>
          <w:lang w:val="bg-BG"/>
        </w:rPr>
        <w:t>.</w:t>
      </w:r>
      <w:r w:rsidR="00992152" w:rsidRPr="001C0739">
        <w:rPr>
          <w:b/>
          <w:color w:val="000000" w:themeColor="text1"/>
          <w:spacing w:val="2"/>
          <w:sz w:val="24"/>
          <w:szCs w:val="24"/>
          <w:shd w:val="clear" w:color="auto" w:fill="FFFFFF"/>
          <w:lang w:val="bg-BG"/>
        </w:rPr>
        <w:t xml:space="preserve"> (1)</w:t>
      </w:r>
      <w:r w:rsidR="00A00D17" w:rsidRPr="001C0739">
        <w:rPr>
          <w:color w:val="000000" w:themeColor="text1"/>
          <w:spacing w:val="2"/>
          <w:sz w:val="24"/>
          <w:szCs w:val="24"/>
          <w:shd w:val="clear" w:color="auto" w:fill="FFFFFF"/>
          <w:lang w:val="bg-BG"/>
        </w:rPr>
        <w:t xml:space="preserve"> </w:t>
      </w:r>
      <w:r w:rsidR="00FF7EE8" w:rsidRPr="001C0739">
        <w:rPr>
          <w:color w:val="000000" w:themeColor="text1"/>
          <w:spacing w:val="2"/>
          <w:sz w:val="24"/>
          <w:szCs w:val="24"/>
          <w:shd w:val="clear" w:color="auto" w:fill="FFFFFF"/>
          <w:lang w:val="bg-BG"/>
        </w:rPr>
        <w:t>Мониторинг</w:t>
      </w:r>
      <w:r w:rsidR="00340782" w:rsidRPr="001C0739">
        <w:rPr>
          <w:color w:val="000000" w:themeColor="text1"/>
          <w:spacing w:val="2"/>
          <w:sz w:val="24"/>
          <w:szCs w:val="24"/>
          <w:shd w:val="clear" w:color="auto" w:fill="FFFFFF"/>
          <w:lang w:val="bg-BG"/>
        </w:rPr>
        <w:t>ът</w:t>
      </w:r>
      <w:r w:rsidR="005F75EA" w:rsidRPr="001C0739">
        <w:rPr>
          <w:color w:val="000000" w:themeColor="text1"/>
          <w:spacing w:val="2"/>
          <w:sz w:val="24"/>
          <w:szCs w:val="24"/>
          <w:shd w:val="clear" w:color="auto" w:fill="FFFFFF"/>
          <w:lang w:val="bg-BG"/>
        </w:rPr>
        <w:t xml:space="preserve"> и отчитането на програмата </w:t>
      </w:r>
      <w:r w:rsidR="000A183E" w:rsidRPr="001C0739">
        <w:rPr>
          <w:color w:val="000000" w:themeColor="text1"/>
          <w:spacing w:val="2"/>
          <w:sz w:val="24"/>
          <w:szCs w:val="24"/>
          <w:shd w:val="clear" w:color="auto" w:fill="FFFFFF"/>
          <w:lang w:val="bg-BG"/>
        </w:rPr>
        <w:t>към</w:t>
      </w:r>
      <w:r w:rsidR="005F75EA" w:rsidRPr="001C0739">
        <w:rPr>
          <w:color w:val="000000" w:themeColor="text1"/>
          <w:spacing w:val="2"/>
          <w:sz w:val="24"/>
          <w:szCs w:val="24"/>
          <w:shd w:val="clear" w:color="auto" w:fill="FFFFFF"/>
          <w:lang w:val="bg-BG"/>
        </w:rPr>
        <w:t xml:space="preserve"> МОН, се извършва от </w:t>
      </w:r>
      <w:r w:rsidR="00FF7EE8" w:rsidRPr="001C0739">
        <w:rPr>
          <w:color w:val="000000" w:themeColor="text1"/>
          <w:spacing w:val="2"/>
          <w:sz w:val="24"/>
          <w:szCs w:val="24"/>
          <w:shd w:val="clear" w:color="auto" w:fill="FFFFFF"/>
          <w:lang w:val="bg-BG"/>
        </w:rPr>
        <w:t xml:space="preserve">отдел НИДД към </w:t>
      </w:r>
      <w:r w:rsidR="005F75EA" w:rsidRPr="001C0739">
        <w:rPr>
          <w:color w:val="000000" w:themeColor="text1"/>
          <w:spacing w:val="2"/>
          <w:sz w:val="24"/>
          <w:szCs w:val="24"/>
          <w:shd w:val="clear" w:color="auto" w:fill="FFFFFF"/>
          <w:lang w:val="bg-BG"/>
        </w:rPr>
        <w:t xml:space="preserve"> </w:t>
      </w:r>
      <w:r w:rsidR="00305310" w:rsidRPr="001C0739">
        <w:rPr>
          <w:color w:val="000000" w:themeColor="text1"/>
          <w:sz w:val="24"/>
          <w:szCs w:val="24"/>
          <w:lang w:val="bg-BG"/>
        </w:rPr>
        <w:t>Икономически университет – Варна</w:t>
      </w:r>
      <w:r w:rsidR="007D345D" w:rsidRPr="001C0739">
        <w:rPr>
          <w:color w:val="000000" w:themeColor="text1"/>
          <w:spacing w:val="2"/>
          <w:sz w:val="24"/>
          <w:szCs w:val="24"/>
          <w:shd w:val="clear" w:color="auto" w:fill="FFFFFF"/>
          <w:lang w:val="bg-BG"/>
        </w:rPr>
        <w:t xml:space="preserve"> по предоставен от Министерството на образованието и науката образец.</w:t>
      </w:r>
    </w:p>
    <w:p w14:paraId="35076120" w14:textId="2ECD7A1E" w:rsidR="00992152" w:rsidRPr="001C0739" w:rsidRDefault="00EF6836" w:rsidP="00FB1603">
      <w:pPr>
        <w:spacing w:after="0" w:line="240" w:lineRule="auto"/>
        <w:ind w:right="0" w:firstLine="567"/>
        <w:rPr>
          <w:color w:val="000000" w:themeColor="text1"/>
          <w:sz w:val="24"/>
          <w:szCs w:val="24"/>
          <w:lang w:val="bg-BG"/>
        </w:rPr>
      </w:pPr>
      <w:r>
        <w:rPr>
          <w:color w:val="000000" w:themeColor="text1"/>
          <w:sz w:val="24"/>
          <w:szCs w:val="24"/>
          <w:lang w:val="bg-BG"/>
        </w:rPr>
        <w:t xml:space="preserve">(2) </w:t>
      </w:r>
      <w:r w:rsidRPr="00F87937">
        <w:rPr>
          <w:color w:val="000000" w:themeColor="text1"/>
          <w:sz w:val="24"/>
          <w:szCs w:val="24"/>
          <w:lang w:val="bg-BG"/>
        </w:rPr>
        <w:t>Отчетът</w:t>
      </w:r>
      <w:r w:rsidR="00992152" w:rsidRPr="001C0739">
        <w:rPr>
          <w:color w:val="000000" w:themeColor="text1"/>
          <w:sz w:val="24"/>
          <w:szCs w:val="24"/>
          <w:lang w:val="bg-BG"/>
        </w:rPr>
        <w:t xml:space="preserve"> по ал. 1 се докладва от председателя на Комисията по чл.5 и се приема на заседание на АС.</w:t>
      </w:r>
    </w:p>
    <w:p w14:paraId="3224DD11" w14:textId="3C8B8A49" w:rsidR="00A00D17" w:rsidRPr="001C0739" w:rsidRDefault="00DF2B40" w:rsidP="00FB1603">
      <w:pPr>
        <w:spacing w:after="0" w:line="240" w:lineRule="auto"/>
        <w:ind w:right="0" w:firstLine="567"/>
        <w:rPr>
          <w:color w:val="000000" w:themeColor="text1"/>
          <w:sz w:val="24"/>
          <w:szCs w:val="24"/>
          <w:lang w:val="bg-BG"/>
        </w:rPr>
      </w:pPr>
      <w:r w:rsidRPr="001C0739">
        <w:rPr>
          <w:b/>
          <w:color w:val="000000" w:themeColor="text1"/>
          <w:sz w:val="24"/>
          <w:szCs w:val="24"/>
          <w:lang w:val="bg-BG"/>
        </w:rPr>
        <w:t xml:space="preserve">Чл. </w:t>
      </w:r>
      <w:r w:rsidR="00A00D17" w:rsidRPr="001C0739">
        <w:rPr>
          <w:b/>
          <w:color w:val="000000" w:themeColor="text1"/>
          <w:sz w:val="24"/>
          <w:szCs w:val="24"/>
          <w:lang w:val="bg-BG"/>
        </w:rPr>
        <w:t>1</w:t>
      </w:r>
      <w:r w:rsidR="00A37556" w:rsidRPr="001C0739">
        <w:rPr>
          <w:b/>
          <w:color w:val="000000" w:themeColor="text1"/>
          <w:sz w:val="24"/>
          <w:szCs w:val="24"/>
          <w:lang w:val="bg-BG"/>
        </w:rPr>
        <w:t>3</w:t>
      </w:r>
      <w:r w:rsidR="00A00D17" w:rsidRPr="001C0739">
        <w:rPr>
          <w:b/>
          <w:color w:val="000000" w:themeColor="text1"/>
          <w:sz w:val="24"/>
          <w:szCs w:val="24"/>
          <w:lang w:val="bg-BG"/>
        </w:rPr>
        <w:t>.</w:t>
      </w:r>
      <w:r w:rsidR="00A00D17" w:rsidRPr="001C0739">
        <w:rPr>
          <w:color w:val="000000" w:themeColor="text1"/>
          <w:sz w:val="24"/>
          <w:szCs w:val="24"/>
          <w:lang w:val="bg-BG"/>
        </w:rPr>
        <w:t xml:space="preserve"> </w:t>
      </w:r>
      <w:r w:rsidR="00340782" w:rsidRPr="001C0739">
        <w:rPr>
          <w:color w:val="000000" w:themeColor="text1"/>
          <w:sz w:val="24"/>
          <w:szCs w:val="24"/>
          <w:lang w:val="bg-BG"/>
        </w:rPr>
        <w:t xml:space="preserve">Участниците в програмата представят </w:t>
      </w:r>
      <w:r w:rsidR="00992152" w:rsidRPr="001C0739">
        <w:rPr>
          <w:color w:val="000000" w:themeColor="text1"/>
          <w:sz w:val="24"/>
          <w:szCs w:val="24"/>
          <w:lang w:val="bg-BG"/>
        </w:rPr>
        <w:t>три</w:t>
      </w:r>
      <w:r w:rsidRPr="001C0739">
        <w:rPr>
          <w:color w:val="000000" w:themeColor="text1"/>
          <w:sz w:val="24"/>
          <w:szCs w:val="24"/>
          <w:lang w:val="bg-BG"/>
        </w:rPr>
        <w:t>месечни</w:t>
      </w:r>
      <w:r w:rsidR="00340782" w:rsidRPr="001C0739">
        <w:rPr>
          <w:color w:val="000000" w:themeColor="text1"/>
          <w:sz w:val="24"/>
          <w:szCs w:val="24"/>
          <w:lang w:val="bg-BG"/>
        </w:rPr>
        <w:t xml:space="preserve"> отчети за извършената от тях дейност през целия период на действие </w:t>
      </w:r>
      <w:r w:rsidRPr="001C0739">
        <w:rPr>
          <w:color w:val="000000" w:themeColor="text1"/>
          <w:sz w:val="24"/>
          <w:szCs w:val="24"/>
          <w:lang w:val="bg-BG"/>
        </w:rPr>
        <w:t>на договорите им с университета, както и окончателен обобщен отчет за целия срок на договорите им.</w:t>
      </w:r>
    </w:p>
    <w:p w14:paraId="057267E9" w14:textId="46003F28" w:rsidR="00A00D17" w:rsidRPr="001C0739" w:rsidRDefault="00DF2B40" w:rsidP="00FB1603">
      <w:pPr>
        <w:spacing w:after="0" w:line="240" w:lineRule="auto"/>
        <w:ind w:right="0" w:firstLine="567"/>
        <w:rPr>
          <w:color w:val="000000" w:themeColor="text1"/>
          <w:sz w:val="24"/>
          <w:szCs w:val="24"/>
          <w:lang w:val="bg-BG"/>
        </w:rPr>
      </w:pPr>
      <w:r w:rsidRPr="001C0739">
        <w:rPr>
          <w:b/>
          <w:color w:val="000000" w:themeColor="text1"/>
          <w:sz w:val="24"/>
          <w:szCs w:val="24"/>
          <w:lang w:val="bg-BG"/>
        </w:rPr>
        <w:t xml:space="preserve">Чл. </w:t>
      </w:r>
      <w:r w:rsidR="00A00D17" w:rsidRPr="001C0739">
        <w:rPr>
          <w:b/>
          <w:color w:val="000000" w:themeColor="text1"/>
          <w:sz w:val="24"/>
          <w:szCs w:val="24"/>
          <w:lang w:val="bg-BG"/>
        </w:rPr>
        <w:t>1</w:t>
      </w:r>
      <w:r w:rsidR="00A37556" w:rsidRPr="001C0739">
        <w:rPr>
          <w:b/>
          <w:color w:val="000000" w:themeColor="text1"/>
          <w:sz w:val="24"/>
          <w:szCs w:val="24"/>
          <w:lang w:val="bg-BG"/>
        </w:rPr>
        <w:t>4</w:t>
      </w:r>
      <w:r w:rsidR="00A00D17" w:rsidRPr="001C0739">
        <w:rPr>
          <w:b/>
          <w:color w:val="000000" w:themeColor="text1"/>
          <w:sz w:val="24"/>
          <w:szCs w:val="24"/>
          <w:lang w:val="bg-BG"/>
        </w:rPr>
        <w:t>.</w:t>
      </w:r>
      <w:r w:rsidR="00A00D17" w:rsidRPr="001C0739">
        <w:rPr>
          <w:color w:val="000000" w:themeColor="text1"/>
          <w:sz w:val="24"/>
          <w:szCs w:val="24"/>
          <w:lang w:val="bg-BG"/>
        </w:rPr>
        <w:t xml:space="preserve"> </w:t>
      </w:r>
      <w:r w:rsidR="00340782" w:rsidRPr="001C0739">
        <w:rPr>
          <w:color w:val="000000" w:themeColor="text1"/>
          <w:sz w:val="24"/>
          <w:szCs w:val="24"/>
          <w:lang w:val="bg-BG"/>
        </w:rPr>
        <w:t>За неизпълнение на задълженията си по националната програма, участниците нося</w:t>
      </w:r>
      <w:r w:rsidR="00DB580B" w:rsidRPr="001C0739">
        <w:rPr>
          <w:color w:val="000000" w:themeColor="text1"/>
          <w:sz w:val="24"/>
          <w:szCs w:val="24"/>
          <w:lang w:val="bg-BG"/>
        </w:rPr>
        <w:t>т</w:t>
      </w:r>
      <w:r w:rsidR="00340782" w:rsidRPr="001C0739">
        <w:rPr>
          <w:color w:val="000000" w:themeColor="text1"/>
          <w:sz w:val="24"/>
          <w:szCs w:val="24"/>
          <w:lang w:val="bg-BG"/>
        </w:rPr>
        <w:t xml:space="preserve"> отговорност, определена в индивидуалните им договори.</w:t>
      </w:r>
    </w:p>
    <w:p w14:paraId="59175386" w14:textId="25BFC413" w:rsidR="00992152" w:rsidRPr="001C0739" w:rsidRDefault="00DF2B40" w:rsidP="00FB1603">
      <w:pPr>
        <w:spacing w:after="0" w:line="240" w:lineRule="auto"/>
        <w:ind w:right="0" w:firstLine="567"/>
        <w:rPr>
          <w:color w:val="000000" w:themeColor="text1"/>
          <w:spacing w:val="2"/>
          <w:sz w:val="24"/>
          <w:szCs w:val="24"/>
          <w:shd w:val="clear" w:color="auto" w:fill="FFFFFF"/>
          <w:lang w:val="bg-BG"/>
        </w:rPr>
      </w:pPr>
      <w:r w:rsidRPr="001C0739">
        <w:rPr>
          <w:b/>
          <w:color w:val="000000" w:themeColor="text1"/>
          <w:sz w:val="24"/>
          <w:szCs w:val="24"/>
          <w:lang w:val="bg-BG"/>
        </w:rPr>
        <w:t xml:space="preserve">Чл. </w:t>
      </w:r>
      <w:r w:rsidR="00A00D17" w:rsidRPr="001C0739">
        <w:rPr>
          <w:b/>
          <w:color w:val="000000" w:themeColor="text1"/>
          <w:sz w:val="24"/>
          <w:szCs w:val="24"/>
          <w:lang w:val="bg-BG"/>
        </w:rPr>
        <w:t>1</w:t>
      </w:r>
      <w:r w:rsidR="00A37556" w:rsidRPr="001C0739">
        <w:rPr>
          <w:b/>
          <w:color w:val="000000" w:themeColor="text1"/>
          <w:sz w:val="24"/>
          <w:szCs w:val="24"/>
          <w:lang w:val="bg-BG"/>
        </w:rPr>
        <w:t>5</w:t>
      </w:r>
      <w:r w:rsidR="00A00D17" w:rsidRPr="001C0739">
        <w:rPr>
          <w:b/>
          <w:color w:val="000000" w:themeColor="text1"/>
          <w:sz w:val="24"/>
          <w:szCs w:val="24"/>
          <w:lang w:val="bg-BG"/>
        </w:rPr>
        <w:t>.</w:t>
      </w:r>
      <w:r w:rsidR="00A00D17" w:rsidRPr="001C0739">
        <w:rPr>
          <w:color w:val="000000" w:themeColor="text1"/>
          <w:sz w:val="24"/>
          <w:szCs w:val="24"/>
          <w:lang w:val="bg-BG"/>
        </w:rPr>
        <w:t xml:space="preserve"> </w:t>
      </w:r>
      <w:r w:rsidRPr="001C0739">
        <w:rPr>
          <w:color w:val="000000" w:themeColor="text1"/>
          <w:sz w:val="24"/>
          <w:szCs w:val="24"/>
          <w:lang w:val="bg-BG"/>
        </w:rPr>
        <w:t xml:space="preserve">Окончателните </w:t>
      </w:r>
      <w:r w:rsidRPr="001C0739">
        <w:rPr>
          <w:color w:val="000000" w:themeColor="text1"/>
          <w:spacing w:val="2"/>
          <w:sz w:val="24"/>
          <w:szCs w:val="24"/>
          <w:shd w:val="clear" w:color="auto" w:fill="FFFFFF"/>
          <w:lang w:val="bg-BG"/>
        </w:rPr>
        <w:t>отчети</w:t>
      </w:r>
      <w:r w:rsidR="005F75EA" w:rsidRPr="001C0739">
        <w:rPr>
          <w:color w:val="000000" w:themeColor="text1"/>
          <w:spacing w:val="2"/>
          <w:sz w:val="24"/>
          <w:szCs w:val="24"/>
          <w:shd w:val="clear" w:color="auto" w:fill="FFFFFF"/>
          <w:lang w:val="bg-BG"/>
        </w:rPr>
        <w:t xml:space="preserve"> </w:t>
      </w:r>
      <w:r w:rsidR="004A6AC4" w:rsidRPr="001C0739">
        <w:rPr>
          <w:color w:val="000000" w:themeColor="text1"/>
          <w:spacing w:val="2"/>
          <w:sz w:val="24"/>
          <w:szCs w:val="24"/>
          <w:shd w:val="clear" w:color="auto" w:fill="FFFFFF"/>
          <w:lang w:val="bg-BG"/>
        </w:rPr>
        <w:t xml:space="preserve">на </w:t>
      </w:r>
      <w:r w:rsidR="00992152" w:rsidRPr="001C0739">
        <w:rPr>
          <w:color w:val="000000" w:themeColor="text1"/>
          <w:spacing w:val="2"/>
          <w:sz w:val="24"/>
          <w:szCs w:val="24"/>
          <w:shd w:val="clear" w:color="auto" w:fill="FFFFFF"/>
          <w:lang w:val="bg-BG"/>
        </w:rPr>
        <w:t>участниците по всеки модул</w:t>
      </w:r>
      <w:r w:rsidR="005F75EA" w:rsidRPr="001C0739">
        <w:rPr>
          <w:color w:val="000000" w:themeColor="text1"/>
          <w:spacing w:val="2"/>
          <w:sz w:val="24"/>
          <w:szCs w:val="24"/>
          <w:shd w:val="clear" w:color="auto" w:fill="FFFFFF"/>
          <w:lang w:val="bg-BG"/>
        </w:rPr>
        <w:t xml:space="preserve"> се приемат от назначената </w:t>
      </w:r>
      <w:r w:rsidR="00992152" w:rsidRPr="001C0739">
        <w:rPr>
          <w:color w:val="000000" w:themeColor="text1"/>
          <w:spacing w:val="2"/>
          <w:sz w:val="24"/>
          <w:szCs w:val="24"/>
          <w:shd w:val="clear" w:color="auto" w:fill="FFFFFF"/>
          <w:lang w:val="bg-BG"/>
        </w:rPr>
        <w:t>К</w:t>
      </w:r>
      <w:r w:rsidR="005F75EA" w:rsidRPr="001C0739">
        <w:rPr>
          <w:color w:val="000000" w:themeColor="text1"/>
          <w:spacing w:val="2"/>
          <w:sz w:val="24"/>
          <w:szCs w:val="24"/>
          <w:shd w:val="clear" w:color="auto" w:fill="FFFFFF"/>
          <w:lang w:val="bg-BG"/>
        </w:rPr>
        <w:t xml:space="preserve">омисия по </w:t>
      </w:r>
      <w:r w:rsidR="001C76C7" w:rsidRPr="001C0739">
        <w:rPr>
          <w:color w:val="000000" w:themeColor="text1"/>
          <w:spacing w:val="2"/>
          <w:sz w:val="24"/>
          <w:szCs w:val="24"/>
          <w:shd w:val="clear" w:color="auto" w:fill="FFFFFF"/>
          <w:lang w:val="bg-BG"/>
        </w:rPr>
        <w:t xml:space="preserve">чл. </w:t>
      </w:r>
      <w:r w:rsidR="00A37556" w:rsidRPr="001C0739">
        <w:rPr>
          <w:color w:val="000000" w:themeColor="text1"/>
          <w:spacing w:val="2"/>
          <w:sz w:val="24"/>
          <w:szCs w:val="24"/>
          <w:shd w:val="clear" w:color="auto" w:fill="FFFFFF"/>
          <w:lang w:val="bg-BG"/>
        </w:rPr>
        <w:t>5</w:t>
      </w:r>
      <w:r w:rsidR="00992152" w:rsidRPr="001C0739">
        <w:rPr>
          <w:color w:val="000000" w:themeColor="text1"/>
          <w:spacing w:val="2"/>
          <w:sz w:val="24"/>
          <w:szCs w:val="24"/>
          <w:shd w:val="clear" w:color="auto" w:fill="FFFFFF"/>
          <w:lang w:val="bg-BG"/>
        </w:rPr>
        <w:t>.</w:t>
      </w:r>
    </w:p>
    <w:p w14:paraId="6515E8C3" w14:textId="732481EF" w:rsidR="007D345D" w:rsidRPr="001C0739" w:rsidRDefault="007D345D" w:rsidP="00FB1603">
      <w:pPr>
        <w:pStyle w:val="ListParagraph"/>
        <w:spacing w:after="0" w:line="240" w:lineRule="auto"/>
        <w:ind w:left="0" w:right="0" w:firstLine="567"/>
        <w:rPr>
          <w:color w:val="auto"/>
          <w:sz w:val="24"/>
          <w:szCs w:val="24"/>
          <w:lang w:val="bg-BG"/>
        </w:rPr>
      </w:pPr>
    </w:p>
    <w:p w14:paraId="57928F4D" w14:textId="668298BA" w:rsidR="00927DBE" w:rsidRPr="001C0739" w:rsidRDefault="00927DBE" w:rsidP="00FB1603">
      <w:pPr>
        <w:spacing w:after="0" w:line="240" w:lineRule="auto"/>
        <w:ind w:right="0" w:firstLine="567"/>
        <w:rPr>
          <w:sz w:val="24"/>
          <w:szCs w:val="24"/>
          <w:lang w:val="bg-BG"/>
        </w:rPr>
      </w:pPr>
    </w:p>
    <w:p w14:paraId="758D6342" w14:textId="3FD54B78" w:rsidR="00FB1603" w:rsidRPr="001C0739" w:rsidRDefault="00FB1603" w:rsidP="00FB1603">
      <w:pPr>
        <w:ind w:firstLine="567"/>
        <w:rPr>
          <w:rStyle w:val="a"/>
          <w:b/>
          <w:sz w:val="24"/>
          <w:szCs w:val="24"/>
        </w:rPr>
      </w:pPr>
      <w:r w:rsidRPr="001C0739">
        <w:rPr>
          <w:rStyle w:val="a"/>
          <w:b/>
          <w:sz w:val="24"/>
          <w:szCs w:val="24"/>
        </w:rPr>
        <w:t>IV.ПРЕХОДНИ И ЗАКЛЮЧИТЕЛНИ РАЗПОРЕДБИ</w:t>
      </w:r>
    </w:p>
    <w:p w14:paraId="4C25C54D" w14:textId="77777777" w:rsidR="00FB1603" w:rsidRPr="001C0739" w:rsidRDefault="00FB1603" w:rsidP="00FB1603">
      <w:pPr>
        <w:ind w:firstLine="567"/>
        <w:rPr>
          <w:rStyle w:val="a"/>
          <w:sz w:val="24"/>
          <w:szCs w:val="24"/>
        </w:rPr>
      </w:pPr>
    </w:p>
    <w:p w14:paraId="600EEB38" w14:textId="429E2D47" w:rsidR="00FB1603" w:rsidRPr="001C0739" w:rsidRDefault="00FB1603" w:rsidP="00FB1603">
      <w:pPr>
        <w:ind w:firstLine="567"/>
        <w:rPr>
          <w:rStyle w:val="a"/>
          <w:sz w:val="24"/>
          <w:szCs w:val="24"/>
        </w:rPr>
      </w:pPr>
      <w:r w:rsidRPr="001C0739">
        <w:rPr>
          <w:rStyle w:val="a"/>
          <w:b/>
          <w:sz w:val="24"/>
          <w:szCs w:val="24"/>
        </w:rPr>
        <w:t>§ 1</w:t>
      </w:r>
      <w:r w:rsidRPr="001C0739">
        <w:rPr>
          <w:rStyle w:val="a"/>
          <w:sz w:val="24"/>
          <w:szCs w:val="24"/>
        </w:rPr>
        <w:t xml:space="preserve">. Настоящите правила са приети с Решение на АС………. </w:t>
      </w:r>
    </w:p>
    <w:p w14:paraId="3762B1CA" w14:textId="19E1DCCA" w:rsidR="00FB1603" w:rsidRPr="001C0739" w:rsidRDefault="00FB1603" w:rsidP="00FB1603">
      <w:pPr>
        <w:ind w:firstLine="567"/>
        <w:rPr>
          <w:sz w:val="24"/>
          <w:szCs w:val="24"/>
          <w:lang w:val="bg-BG"/>
        </w:rPr>
      </w:pPr>
      <w:r w:rsidRPr="001C0739">
        <w:rPr>
          <w:rStyle w:val="a"/>
          <w:b/>
          <w:sz w:val="24"/>
          <w:szCs w:val="24"/>
        </w:rPr>
        <w:t>§ 2</w:t>
      </w:r>
      <w:r w:rsidRPr="001C0739">
        <w:rPr>
          <w:rStyle w:val="a"/>
          <w:sz w:val="24"/>
          <w:szCs w:val="24"/>
        </w:rPr>
        <w:t xml:space="preserve">. Настоящите правила влизат в сила от датата на приемането им и се публикуват </w:t>
      </w:r>
      <w:r w:rsidRPr="00F87937">
        <w:rPr>
          <w:rStyle w:val="a"/>
          <w:sz w:val="24"/>
          <w:szCs w:val="24"/>
        </w:rPr>
        <w:t>на……………..</w:t>
      </w:r>
    </w:p>
    <w:p w14:paraId="604B622E" w14:textId="5A4F4265" w:rsidR="00FB1603" w:rsidRPr="001C0739" w:rsidRDefault="00FB1603" w:rsidP="00FB1603">
      <w:pPr>
        <w:ind w:firstLine="567"/>
        <w:rPr>
          <w:sz w:val="24"/>
          <w:szCs w:val="24"/>
          <w:lang w:val="bg-BG"/>
        </w:rPr>
      </w:pPr>
      <w:r w:rsidRPr="001C0739">
        <w:rPr>
          <w:rStyle w:val="a"/>
          <w:b/>
          <w:sz w:val="24"/>
          <w:szCs w:val="24"/>
        </w:rPr>
        <w:t>§ 3</w:t>
      </w:r>
      <w:r w:rsidRPr="001C0739">
        <w:rPr>
          <w:rStyle w:val="a"/>
          <w:sz w:val="24"/>
          <w:szCs w:val="24"/>
        </w:rPr>
        <w:t xml:space="preserve">. Изменения и допълнения на правилата се извършват </w:t>
      </w:r>
      <w:r w:rsidR="004A6AC4" w:rsidRPr="001C0739">
        <w:rPr>
          <w:rStyle w:val="a"/>
          <w:sz w:val="24"/>
          <w:szCs w:val="24"/>
        </w:rPr>
        <w:t>п</w:t>
      </w:r>
      <w:r w:rsidRPr="001C0739">
        <w:rPr>
          <w:rStyle w:val="a"/>
          <w:sz w:val="24"/>
          <w:szCs w:val="24"/>
        </w:rPr>
        <w:t>о реда на тяхното приемане.</w:t>
      </w:r>
    </w:p>
    <w:p w14:paraId="3B2A0245" w14:textId="4203747E" w:rsidR="00BA6E52" w:rsidRPr="001C0739" w:rsidRDefault="00BA6E52" w:rsidP="00FB1603">
      <w:pPr>
        <w:spacing w:after="0" w:line="240" w:lineRule="auto"/>
        <w:ind w:right="0" w:firstLine="567"/>
        <w:rPr>
          <w:sz w:val="24"/>
          <w:szCs w:val="24"/>
          <w:lang w:val="bg-BG"/>
        </w:rPr>
      </w:pPr>
    </w:p>
    <w:p w14:paraId="1998D56D" w14:textId="430E8211" w:rsidR="00BA6E52" w:rsidRPr="001C0739" w:rsidRDefault="00BA6E52" w:rsidP="00FB1603">
      <w:pPr>
        <w:spacing w:after="0" w:line="240" w:lineRule="auto"/>
        <w:ind w:right="0" w:firstLine="567"/>
        <w:rPr>
          <w:sz w:val="24"/>
          <w:szCs w:val="24"/>
          <w:lang w:val="bg-BG"/>
        </w:rPr>
      </w:pPr>
    </w:p>
    <w:p w14:paraId="1EA0AACF" w14:textId="14C57881" w:rsidR="00582573" w:rsidRPr="001C0739" w:rsidRDefault="00582573" w:rsidP="00FB1603">
      <w:pPr>
        <w:spacing w:after="0" w:line="240" w:lineRule="auto"/>
        <w:ind w:right="0" w:firstLine="567"/>
        <w:rPr>
          <w:sz w:val="24"/>
          <w:szCs w:val="24"/>
          <w:lang w:val="bg-BG"/>
        </w:rPr>
      </w:pPr>
    </w:p>
    <w:p w14:paraId="76ACB444" w14:textId="5A8C98E0" w:rsidR="00582573" w:rsidRPr="001C0739" w:rsidRDefault="00582573" w:rsidP="00FB1603">
      <w:pPr>
        <w:spacing w:after="0" w:line="240" w:lineRule="auto"/>
        <w:ind w:right="0" w:firstLine="567"/>
        <w:rPr>
          <w:sz w:val="24"/>
          <w:szCs w:val="24"/>
          <w:lang w:val="bg-BG"/>
        </w:rPr>
      </w:pPr>
    </w:p>
    <w:p w14:paraId="5ED1B319" w14:textId="2DD0AB3D" w:rsidR="00582573" w:rsidRPr="001C0739" w:rsidRDefault="00582573" w:rsidP="00FB1603">
      <w:pPr>
        <w:spacing w:after="0" w:line="240" w:lineRule="auto"/>
        <w:ind w:right="0" w:firstLine="567"/>
        <w:rPr>
          <w:sz w:val="24"/>
          <w:szCs w:val="24"/>
          <w:lang w:val="bg-BG"/>
        </w:rPr>
      </w:pPr>
    </w:p>
    <w:p w14:paraId="3945FEE1" w14:textId="4D4FCEA9" w:rsidR="00582573" w:rsidRDefault="00582573" w:rsidP="00FB1603">
      <w:pPr>
        <w:spacing w:after="0" w:line="240" w:lineRule="auto"/>
        <w:ind w:right="0" w:firstLine="567"/>
        <w:rPr>
          <w:sz w:val="24"/>
          <w:szCs w:val="24"/>
          <w:lang w:val="bg-BG"/>
        </w:rPr>
      </w:pPr>
    </w:p>
    <w:p w14:paraId="09B809D5" w14:textId="745DDB16" w:rsidR="00582573" w:rsidRDefault="00582573" w:rsidP="00FB1603">
      <w:pPr>
        <w:spacing w:after="0" w:line="240" w:lineRule="auto"/>
        <w:ind w:right="0" w:firstLine="567"/>
        <w:rPr>
          <w:sz w:val="24"/>
          <w:szCs w:val="24"/>
          <w:lang w:val="bg-BG"/>
        </w:rPr>
      </w:pPr>
    </w:p>
    <w:p w14:paraId="4FAAC95C" w14:textId="65FBBDB0" w:rsidR="00582573" w:rsidRDefault="00582573" w:rsidP="00FB1603">
      <w:pPr>
        <w:spacing w:after="0" w:line="240" w:lineRule="auto"/>
        <w:ind w:right="0" w:firstLine="567"/>
        <w:rPr>
          <w:sz w:val="24"/>
          <w:szCs w:val="24"/>
          <w:lang w:val="bg-BG"/>
        </w:rPr>
      </w:pPr>
    </w:p>
    <w:p w14:paraId="05A8FF07" w14:textId="3F4C6D36" w:rsidR="00582573" w:rsidRDefault="00582573" w:rsidP="00FB1603">
      <w:pPr>
        <w:spacing w:after="0" w:line="240" w:lineRule="auto"/>
        <w:ind w:right="0" w:firstLine="567"/>
        <w:rPr>
          <w:sz w:val="24"/>
          <w:szCs w:val="24"/>
          <w:lang w:val="bg-BG"/>
        </w:rPr>
      </w:pPr>
    </w:p>
    <w:p w14:paraId="720676E6" w14:textId="7D0C3DED" w:rsidR="00582573" w:rsidRDefault="00582573" w:rsidP="00FB1603">
      <w:pPr>
        <w:spacing w:after="0" w:line="240" w:lineRule="auto"/>
        <w:ind w:right="0" w:firstLine="567"/>
        <w:rPr>
          <w:sz w:val="24"/>
          <w:szCs w:val="24"/>
          <w:lang w:val="bg-BG"/>
        </w:rPr>
      </w:pPr>
    </w:p>
    <w:p w14:paraId="59B0AE59" w14:textId="6A1D72E8" w:rsidR="00582573" w:rsidRDefault="00582573" w:rsidP="00FB1603">
      <w:pPr>
        <w:spacing w:after="0" w:line="240" w:lineRule="auto"/>
        <w:ind w:right="0" w:firstLine="567"/>
        <w:rPr>
          <w:sz w:val="24"/>
          <w:szCs w:val="24"/>
          <w:lang w:val="bg-BG"/>
        </w:rPr>
      </w:pPr>
    </w:p>
    <w:p w14:paraId="06CE21AD" w14:textId="2CEE92D6" w:rsidR="00582573" w:rsidRDefault="00582573" w:rsidP="00FB1603">
      <w:pPr>
        <w:spacing w:after="0" w:line="240" w:lineRule="auto"/>
        <w:ind w:right="0" w:firstLine="567"/>
        <w:rPr>
          <w:sz w:val="24"/>
          <w:szCs w:val="24"/>
          <w:lang w:val="bg-BG"/>
        </w:rPr>
      </w:pPr>
    </w:p>
    <w:p w14:paraId="78BF7159" w14:textId="77777777" w:rsidR="00582573" w:rsidRPr="00582573" w:rsidRDefault="00582573" w:rsidP="00582573">
      <w:pPr>
        <w:ind w:left="1985" w:hanging="1276"/>
        <w:jc w:val="right"/>
        <w:rPr>
          <w:b/>
          <w:i/>
          <w:sz w:val="24"/>
          <w:szCs w:val="24"/>
        </w:rPr>
      </w:pPr>
      <w:proofErr w:type="spellStart"/>
      <w:r w:rsidRPr="00F87937">
        <w:rPr>
          <w:b/>
          <w:i/>
          <w:sz w:val="24"/>
          <w:szCs w:val="24"/>
        </w:rPr>
        <w:t>Приложение</w:t>
      </w:r>
      <w:proofErr w:type="spellEnd"/>
      <w:r w:rsidRPr="00F87937">
        <w:rPr>
          <w:b/>
          <w:i/>
          <w:sz w:val="24"/>
          <w:szCs w:val="24"/>
        </w:rPr>
        <w:t xml:space="preserve"> 1</w:t>
      </w:r>
    </w:p>
    <w:p w14:paraId="636C49D5" w14:textId="77777777" w:rsidR="00582573" w:rsidRPr="00582573" w:rsidRDefault="00582573" w:rsidP="00582573">
      <w:pPr>
        <w:ind w:left="709"/>
        <w:jc w:val="center"/>
        <w:rPr>
          <w:sz w:val="24"/>
          <w:szCs w:val="24"/>
        </w:rPr>
      </w:pPr>
      <w:proofErr w:type="spellStart"/>
      <w:r w:rsidRPr="00582573">
        <w:rPr>
          <w:sz w:val="24"/>
          <w:szCs w:val="24"/>
        </w:rPr>
        <w:t>Принос</w:t>
      </w:r>
      <w:proofErr w:type="spellEnd"/>
      <w:r w:rsidRPr="00582573">
        <w:rPr>
          <w:sz w:val="24"/>
          <w:szCs w:val="24"/>
        </w:rPr>
        <w:t xml:space="preserve"> </w:t>
      </w:r>
      <w:proofErr w:type="spellStart"/>
      <w:r w:rsidRPr="00582573">
        <w:rPr>
          <w:sz w:val="24"/>
          <w:szCs w:val="24"/>
        </w:rPr>
        <w:t>на</w:t>
      </w:r>
      <w:proofErr w:type="spellEnd"/>
      <w:r w:rsidRPr="00582573">
        <w:rPr>
          <w:sz w:val="24"/>
          <w:szCs w:val="24"/>
        </w:rPr>
        <w:t xml:space="preserve"> </w:t>
      </w:r>
      <w:proofErr w:type="spellStart"/>
      <w:r w:rsidRPr="00582573">
        <w:rPr>
          <w:sz w:val="24"/>
          <w:szCs w:val="24"/>
        </w:rPr>
        <w:t>структурните</w:t>
      </w:r>
      <w:proofErr w:type="spellEnd"/>
      <w:r w:rsidRPr="00582573">
        <w:rPr>
          <w:sz w:val="24"/>
          <w:szCs w:val="24"/>
        </w:rPr>
        <w:t xml:space="preserve"> </w:t>
      </w:r>
      <w:proofErr w:type="spellStart"/>
      <w:r w:rsidRPr="00582573">
        <w:rPr>
          <w:sz w:val="24"/>
          <w:szCs w:val="24"/>
        </w:rPr>
        <w:t>звена</w:t>
      </w:r>
      <w:proofErr w:type="spellEnd"/>
      <w:r w:rsidRPr="00582573">
        <w:rPr>
          <w:sz w:val="24"/>
          <w:szCs w:val="24"/>
        </w:rPr>
        <w:t xml:space="preserve"> </w:t>
      </w:r>
      <w:proofErr w:type="spellStart"/>
      <w:r w:rsidRPr="00582573">
        <w:rPr>
          <w:sz w:val="24"/>
          <w:szCs w:val="24"/>
        </w:rPr>
        <w:t>към</w:t>
      </w:r>
      <w:proofErr w:type="spellEnd"/>
      <w:r w:rsidRPr="00582573">
        <w:rPr>
          <w:sz w:val="24"/>
          <w:szCs w:val="24"/>
        </w:rPr>
        <w:t xml:space="preserve"> </w:t>
      </w:r>
      <w:proofErr w:type="spellStart"/>
      <w:r w:rsidRPr="00582573">
        <w:rPr>
          <w:sz w:val="24"/>
          <w:szCs w:val="24"/>
        </w:rPr>
        <w:t>общата</w:t>
      </w:r>
      <w:proofErr w:type="spellEnd"/>
      <w:r w:rsidRPr="00582573">
        <w:rPr>
          <w:sz w:val="24"/>
          <w:szCs w:val="24"/>
        </w:rPr>
        <w:t xml:space="preserve"> </w:t>
      </w:r>
      <w:proofErr w:type="spellStart"/>
      <w:r w:rsidRPr="00582573">
        <w:rPr>
          <w:sz w:val="24"/>
          <w:szCs w:val="24"/>
        </w:rPr>
        <w:t>научна</w:t>
      </w:r>
      <w:proofErr w:type="spellEnd"/>
      <w:r w:rsidRPr="00582573">
        <w:rPr>
          <w:sz w:val="24"/>
          <w:szCs w:val="24"/>
        </w:rPr>
        <w:t xml:space="preserve"> </w:t>
      </w:r>
      <w:proofErr w:type="spellStart"/>
      <w:r w:rsidRPr="00582573">
        <w:rPr>
          <w:sz w:val="24"/>
          <w:szCs w:val="24"/>
        </w:rPr>
        <w:t>продукция</w:t>
      </w:r>
      <w:proofErr w:type="spellEnd"/>
      <w:r w:rsidRPr="00582573">
        <w:rPr>
          <w:sz w:val="24"/>
          <w:szCs w:val="24"/>
        </w:rPr>
        <w:t xml:space="preserve"> </w:t>
      </w:r>
      <w:proofErr w:type="spellStart"/>
      <w:r w:rsidRPr="00582573">
        <w:rPr>
          <w:sz w:val="24"/>
          <w:szCs w:val="24"/>
        </w:rPr>
        <w:t>отразена</w:t>
      </w:r>
      <w:proofErr w:type="spellEnd"/>
      <w:r w:rsidRPr="00582573">
        <w:rPr>
          <w:sz w:val="24"/>
          <w:szCs w:val="24"/>
        </w:rPr>
        <w:t xml:space="preserve"> в </w:t>
      </w:r>
      <w:proofErr w:type="spellStart"/>
      <w:r w:rsidRPr="00582573">
        <w:rPr>
          <w:sz w:val="24"/>
          <w:szCs w:val="24"/>
        </w:rPr>
        <w:t>базите</w:t>
      </w:r>
      <w:proofErr w:type="spellEnd"/>
      <w:r w:rsidRPr="00582573">
        <w:rPr>
          <w:sz w:val="24"/>
          <w:szCs w:val="24"/>
        </w:rPr>
        <w:t xml:space="preserve"> </w:t>
      </w:r>
      <w:proofErr w:type="spellStart"/>
      <w:r w:rsidRPr="00582573">
        <w:rPr>
          <w:sz w:val="24"/>
          <w:szCs w:val="24"/>
        </w:rPr>
        <w:t>данни</w:t>
      </w:r>
      <w:proofErr w:type="spellEnd"/>
      <w:r w:rsidRPr="00582573">
        <w:rPr>
          <w:sz w:val="24"/>
          <w:szCs w:val="24"/>
        </w:rPr>
        <w:t xml:space="preserve"> Scopus/Web of Science </w:t>
      </w:r>
      <w:proofErr w:type="spellStart"/>
      <w:r w:rsidRPr="00582573">
        <w:rPr>
          <w:sz w:val="24"/>
          <w:szCs w:val="24"/>
        </w:rPr>
        <w:t>на</w:t>
      </w:r>
      <w:proofErr w:type="spellEnd"/>
      <w:r w:rsidRPr="00582573">
        <w:rPr>
          <w:sz w:val="24"/>
          <w:szCs w:val="24"/>
        </w:rPr>
        <w:t xml:space="preserve"> ИУ-</w:t>
      </w:r>
      <w:proofErr w:type="spellStart"/>
      <w:r w:rsidRPr="00582573">
        <w:rPr>
          <w:sz w:val="24"/>
          <w:szCs w:val="24"/>
        </w:rPr>
        <w:t>Варна</w:t>
      </w:r>
      <w:proofErr w:type="spellEnd"/>
      <w:r w:rsidRPr="00582573">
        <w:rPr>
          <w:sz w:val="24"/>
          <w:szCs w:val="24"/>
        </w:rPr>
        <w:t xml:space="preserve"> </w:t>
      </w:r>
      <w:proofErr w:type="spellStart"/>
      <w:r w:rsidRPr="00582573">
        <w:rPr>
          <w:sz w:val="24"/>
          <w:szCs w:val="24"/>
        </w:rPr>
        <w:t>за</w:t>
      </w:r>
      <w:proofErr w:type="spellEnd"/>
      <w:r w:rsidRPr="00582573">
        <w:rPr>
          <w:sz w:val="24"/>
          <w:szCs w:val="24"/>
        </w:rPr>
        <w:t xml:space="preserve"> </w:t>
      </w:r>
      <w:proofErr w:type="spellStart"/>
      <w:r w:rsidRPr="00582573">
        <w:rPr>
          <w:sz w:val="24"/>
          <w:szCs w:val="24"/>
        </w:rPr>
        <w:t>етап</w:t>
      </w:r>
      <w:proofErr w:type="spellEnd"/>
      <w:r w:rsidRPr="00582573">
        <w:rPr>
          <w:sz w:val="24"/>
          <w:szCs w:val="24"/>
        </w:rPr>
        <w:t xml:space="preserve"> I </w:t>
      </w:r>
      <w:proofErr w:type="spellStart"/>
      <w:r w:rsidRPr="00582573">
        <w:rPr>
          <w:sz w:val="24"/>
          <w:szCs w:val="24"/>
        </w:rPr>
        <w:t>по</w:t>
      </w:r>
      <w:proofErr w:type="spellEnd"/>
      <w:r w:rsidRPr="00582573">
        <w:rPr>
          <w:sz w:val="24"/>
          <w:szCs w:val="24"/>
        </w:rPr>
        <w:t xml:space="preserve"> </w:t>
      </w:r>
      <w:proofErr w:type="spellStart"/>
      <w:r w:rsidRPr="00582573">
        <w:rPr>
          <w:sz w:val="24"/>
          <w:szCs w:val="24"/>
        </w:rPr>
        <w:t>Национална</w:t>
      </w:r>
      <w:proofErr w:type="spellEnd"/>
      <w:r w:rsidRPr="00582573">
        <w:rPr>
          <w:sz w:val="24"/>
          <w:szCs w:val="24"/>
        </w:rPr>
        <w:t xml:space="preserve"> </w:t>
      </w:r>
      <w:proofErr w:type="spellStart"/>
      <w:r w:rsidRPr="00582573">
        <w:rPr>
          <w:sz w:val="24"/>
          <w:szCs w:val="24"/>
        </w:rPr>
        <w:t>програма</w:t>
      </w:r>
      <w:proofErr w:type="spellEnd"/>
      <w:r w:rsidRPr="00582573">
        <w:rPr>
          <w:sz w:val="24"/>
          <w:szCs w:val="24"/>
        </w:rPr>
        <w:t xml:space="preserve"> „</w:t>
      </w:r>
      <w:proofErr w:type="spellStart"/>
      <w:r w:rsidRPr="00582573">
        <w:rPr>
          <w:sz w:val="24"/>
          <w:szCs w:val="24"/>
        </w:rPr>
        <w:t>Млади</w:t>
      </w:r>
      <w:proofErr w:type="spellEnd"/>
      <w:r w:rsidRPr="00582573">
        <w:rPr>
          <w:sz w:val="24"/>
          <w:szCs w:val="24"/>
        </w:rPr>
        <w:t xml:space="preserve"> </w:t>
      </w:r>
      <w:proofErr w:type="spellStart"/>
      <w:r w:rsidRPr="00582573">
        <w:rPr>
          <w:sz w:val="24"/>
          <w:szCs w:val="24"/>
        </w:rPr>
        <w:t>учени</w:t>
      </w:r>
      <w:proofErr w:type="spellEnd"/>
      <w:r w:rsidRPr="00582573">
        <w:rPr>
          <w:sz w:val="24"/>
          <w:szCs w:val="24"/>
        </w:rPr>
        <w:t xml:space="preserve"> и </w:t>
      </w:r>
      <w:proofErr w:type="spellStart"/>
      <w:r w:rsidRPr="00582573">
        <w:rPr>
          <w:sz w:val="24"/>
          <w:szCs w:val="24"/>
        </w:rPr>
        <w:t>постдокторанти</w:t>
      </w:r>
      <w:proofErr w:type="spellEnd"/>
      <w:r w:rsidRPr="00582573">
        <w:rPr>
          <w:sz w:val="24"/>
          <w:szCs w:val="24"/>
        </w:rPr>
        <w:t xml:space="preserve"> – 2“</w:t>
      </w:r>
    </w:p>
    <w:tbl>
      <w:tblPr>
        <w:tblW w:w="10507" w:type="dxa"/>
        <w:tblLayout w:type="fixed"/>
        <w:tblLook w:val="0400" w:firstRow="0" w:lastRow="0" w:firstColumn="0" w:lastColumn="0" w:noHBand="0" w:noVBand="1"/>
      </w:tblPr>
      <w:tblGrid>
        <w:gridCol w:w="1833"/>
        <w:gridCol w:w="912"/>
        <w:gridCol w:w="940"/>
        <w:gridCol w:w="940"/>
        <w:gridCol w:w="1341"/>
        <w:gridCol w:w="1087"/>
        <w:gridCol w:w="1494"/>
        <w:gridCol w:w="1960"/>
      </w:tblGrid>
      <w:tr w:rsidR="00582573" w:rsidRPr="00582573" w14:paraId="6BA79BA5" w14:textId="77777777" w:rsidTr="00582573">
        <w:trPr>
          <w:trHeight w:val="621"/>
        </w:trPr>
        <w:tc>
          <w:tcPr>
            <w:tcW w:w="1833"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4C595CCD" w14:textId="77777777" w:rsidR="00582573" w:rsidRPr="00EF6836" w:rsidRDefault="00582573" w:rsidP="00EF6836">
            <w:pPr>
              <w:spacing w:after="0" w:line="240" w:lineRule="auto"/>
              <w:ind w:firstLine="0"/>
              <w:rPr>
                <w:sz w:val="24"/>
                <w:szCs w:val="24"/>
                <w:lang w:val="bg-BG"/>
              </w:rPr>
            </w:pPr>
            <w:r w:rsidRPr="00EF6836">
              <w:rPr>
                <w:sz w:val="24"/>
                <w:szCs w:val="24"/>
                <w:lang w:val="bg-BG"/>
              </w:rPr>
              <w:t>факултети / основни звена</w:t>
            </w:r>
          </w:p>
        </w:tc>
        <w:tc>
          <w:tcPr>
            <w:tcW w:w="4133" w:type="dxa"/>
            <w:gridSpan w:val="4"/>
            <w:tcBorders>
              <w:top w:val="single" w:sz="8" w:space="0" w:color="000000"/>
              <w:left w:val="nil"/>
              <w:bottom w:val="single" w:sz="4" w:space="0" w:color="000000"/>
              <w:right w:val="single" w:sz="4" w:space="0" w:color="000000"/>
            </w:tcBorders>
            <w:shd w:val="clear" w:color="auto" w:fill="auto"/>
            <w:vAlign w:val="bottom"/>
          </w:tcPr>
          <w:p w14:paraId="1B49F7F2" w14:textId="77777777" w:rsidR="00582573" w:rsidRPr="00EF6836" w:rsidRDefault="00582573" w:rsidP="00C016F8">
            <w:pPr>
              <w:spacing w:after="0" w:line="240" w:lineRule="auto"/>
              <w:jc w:val="center"/>
              <w:rPr>
                <w:sz w:val="24"/>
                <w:szCs w:val="24"/>
                <w:lang w:val="bg-BG"/>
              </w:rPr>
            </w:pPr>
            <w:r w:rsidRPr="00EF6836">
              <w:rPr>
                <w:sz w:val="24"/>
                <w:szCs w:val="24"/>
                <w:lang w:val="bg-BG"/>
              </w:rPr>
              <w:t xml:space="preserve">Публикации, индексирани в </w:t>
            </w:r>
            <w:proofErr w:type="spellStart"/>
            <w:r w:rsidRPr="00EF6836">
              <w:rPr>
                <w:sz w:val="24"/>
                <w:szCs w:val="24"/>
                <w:lang w:val="bg-BG"/>
              </w:rPr>
              <w:t>Sc</w:t>
            </w:r>
            <w:proofErr w:type="spellEnd"/>
            <w:r w:rsidRPr="00EF6836">
              <w:rPr>
                <w:sz w:val="24"/>
                <w:szCs w:val="24"/>
                <w:lang w:val="bg-BG"/>
              </w:rPr>
              <w:t>/</w:t>
            </w:r>
            <w:proofErr w:type="spellStart"/>
            <w:r w:rsidRPr="00EF6836">
              <w:rPr>
                <w:sz w:val="24"/>
                <w:szCs w:val="24"/>
                <w:lang w:val="bg-BG"/>
              </w:rPr>
              <w:t>WofSc</w:t>
            </w:r>
            <w:proofErr w:type="spellEnd"/>
          </w:p>
        </w:tc>
        <w:tc>
          <w:tcPr>
            <w:tcW w:w="1087"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14:paraId="7FB9BFB9" w14:textId="2F0F82A3" w:rsidR="00582573" w:rsidRPr="00EF6836" w:rsidRDefault="00EF6836" w:rsidP="00EF6836">
            <w:pPr>
              <w:spacing w:after="0" w:line="240" w:lineRule="auto"/>
              <w:ind w:firstLine="0"/>
              <w:rPr>
                <w:sz w:val="24"/>
                <w:szCs w:val="24"/>
                <w:lang w:val="bg-BG"/>
              </w:rPr>
            </w:pPr>
            <w:r w:rsidRPr="00EF6836">
              <w:rPr>
                <w:sz w:val="24"/>
                <w:szCs w:val="24"/>
                <w:lang w:val="bg-BG"/>
              </w:rPr>
              <w:t>С</w:t>
            </w:r>
            <w:r w:rsidR="00582573" w:rsidRPr="00EF6836">
              <w:rPr>
                <w:sz w:val="24"/>
                <w:szCs w:val="24"/>
                <w:lang w:val="bg-BG"/>
              </w:rPr>
              <w:t>редно -</w:t>
            </w:r>
            <w:r w:rsidRPr="00EF6836">
              <w:rPr>
                <w:sz w:val="24"/>
                <w:szCs w:val="24"/>
                <w:lang w:val="bg-BG"/>
              </w:rPr>
              <w:t xml:space="preserve"> </w:t>
            </w:r>
            <w:r w:rsidR="00582573" w:rsidRPr="00EF6836">
              <w:rPr>
                <w:sz w:val="24"/>
                <w:szCs w:val="24"/>
                <w:lang w:val="bg-BG"/>
              </w:rPr>
              <w:t>списъчен състав на звеното</w:t>
            </w:r>
          </w:p>
        </w:tc>
        <w:tc>
          <w:tcPr>
            <w:tcW w:w="1494"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14:paraId="13FD20FC" w14:textId="33ECC0D4" w:rsidR="00582573" w:rsidRPr="00EF6836" w:rsidRDefault="00EF6836" w:rsidP="00EF6836">
            <w:pPr>
              <w:spacing w:after="0" w:line="240" w:lineRule="auto"/>
              <w:ind w:firstLine="0"/>
              <w:rPr>
                <w:sz w:val="24"/>
                <w:szCs w:val="24"/>
                <w:lang w:val="bg-BG"/>
              </w:rPr>
            </w:pPr>
            <w:r w:rsidRPr="00EF6836">
              <w:rPr>
                <w:sz w:val="24"/>
                <w:szCs w:val="24"/>
                <w:lang w:val="bg-BG"/>
              </w:rPr>
              <w:t>И</w:t>
            </w:r>
            <w:r w:rsidR="00582573" w:rsidRPr="00EF6836">
              <w:rPr>
                <w:sz w:val="24"/>
                <w:szCs w:val="24"/>
                <w:lang w:val="bg-BG"/>
              </w:rPr>
              <w:t xml:space="preserve">нтензивност на публикуване </w:t>
            </w:r>
          </w:p>
        </w:tc>
        <w:tc>
          <w:tcPr>
            <w:tcW w:w="1960"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tcPr>
          <w:p w14:paraId="70E711ED" w14:textId="77777777" w:rsidR="00582573" w:rsidRPr="00EF6836" w:rsidRDefault="00582573" w:rsidP="00EF6836">
            <w:pPr>
              <w:spacing w:after="0" w:line="240" w:lineRule="auto"/>
              <w:ind w:firstLine="0"/>
              <w:rPr>
                <w:b/>
                <w:sz w:val="24"/>
                <w:szCs w:val="24"/>
                <w:lang w:val="bg-BG"/>
              </w:rPr>
            </w:pPr>
            <w:r w:rsidRPr="00EF6836">
              <w:rPr>
                <w:b/>
                <w:sz w:val="24"/>
                <w:szCs w:val="24"/>
                <w:lang w:val="bg-BG"/>
              </w:rPr>
              <w:t xml:space="preserve">Дял на звеното в общата </w:t>
            </w:r>
            <w:proofErr w:type="spellStart"/>
            <w:r w:rsidRPr="00EF6836">
              <w:rPr>
                <w:b/>
                <w:sz w:val="24"/>
                <w:szCs w:val="24"/>
                <w:lang w:val="bg-BG"/>
              </w:rPr>
              <w:t>публикационна</w:t>
            </w:r>
            <w:proofErr w:type="spellEnd"/>
            <w:r w:rsidRPr="00EF6836">
              <w:rPr>
                <w:b/>
                <w:sz w:val="24"/>
                <w:szCs w:val="24"/>
                <w:lang w:val="bg-BG"/>
              </w:rPr>
              <w:t xml:space="preserve"> активност*</w:t>
            </w:r>
          </w:p>
        </w:tc>
      </w:tr>
      <w:tr w:rsidR="00582573" w:rsidRPr="00582573" w14:paraId="256168B2" w14:textId="77777777" w:rsidTr="00582573">
        <w:trPr>
          <w:trHeight w:val="630"/>
        </w:trPr>
        <w:tc>
          <w:tcPr>
            <w:tcW w:w="1833"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80AEE2C" w14:textId="77777777" w:rsidR="00582573" w:rsidRPr="00EF6836" w:rsidRDefault="00582573" w:rsidP="00C016F8">
            <w:pPr>
              <w:widowControl w:val="0"/>
              <w:pBdr>
                <w:top w:val="nil"/>
                <w:left w:val="nil"/>
                <w:bottom w:val="nil"/>
                <w:right w:val="nil"/>
                <w:between w:val="nil"/>
              </w:pBdr>
              <w:spacing w:after="0"/>
              <w:rPr>
                <w:b/>
                <w:sz w:val="24"/>
                <w:szCs w:val="24"/>
                <w:lang w:val="bg-BG"/>
              </w:rPr>
            </w:pPr>
          </w:p>
        </w:tc>
        <w:tc>
          <w:tcPr>
            <w:tcW w:w="912" w:type="dxa"/>
            <w:vMerge w:val="restart"/>
            <w:tcBorders>
              <w:top w:val="nil"/>
              <w:left w:val="single" w:sz="4" w:space="0" w:color="000000"/>
              <w:bottom w:val="single" w:sz="8" w:space="0" w:color="000000"/>
              <w:right w:val="single" w:sz="4" w:space="0" w:color="000000"/>
            </w:tcBorders>
            <w:shd w:val="clear" w:color="auto" w:fill="auto"/>
            <w:vAlign w:val="center"/>
          </w:tcPr>
          <w:p w14:paraId="765FD0BE" w14:textId="77777777" w:rsidR="00582573" w:rsidRPr="00EF6836" w:rsidRDefault="00582573" w:rsidP="00EF6836">
            <w:pPr>
              <w:spacing w:after="0" w:line="240" w:lineRule="auto"/>
              <w:ind w:firstLine="0"/>
              <w:rPr>
                <w:sz w:val="24"/>
                <w:szCs w:val="24"/>
                <w:lang w:val="bg-BG"/>
              </w:rPr>
            </w:pPr>
            <w:proofErr w:type="spellStart"/>
            <w:r w:rsidRPr="00EF6836">
              <w:rPr>
                <w:sz w:val="24"/>
                <w:szCs w:val="24"/>
                <w:lang w:val="bg-BG"/>
              </w:rPr>
              <w:t>уч</w:t>
            </w:r>
            <w:proofErr w:type="spellEnd"/>
            <w:r w:rsidRPr="00EF6836">
              <w:rPr>
                <w:sz w:val="24"/>
                <w:szCs w:val="24"/>
                <w:lang w:val="bg-BG"/>
              </w:rPr>
              <w:t>. 2018 -2019 г.</w:t>
            </w:r>
          </w:p>
        </w:tc>
        <w:tc>
          <w:tcPr>
            <w:tcW w:w="940" w:type="dxa"/>
            <w:vMerge w:val="restart"/>
            <w:tcBorders>
              <w:top w:val="nil"/>
              <w:left w:val="single" w:sz="4" w:space="0" w:color="000000"/>
              <w:bottom w:val="single" w:sz="8" w:space="0" w:color="000000"/>
              <w:right w:val="single" w:sz="4" w:space="0" w:color="000000"/>
            </w:tcBorders>
            <w:shd w:val="clear" w:color="auto" w:fill="auto"/>
            <w:vAlign w:val="center"/>
          </w:tcPr>
          <w:p w14:paraId="54D80328" w14:textId="77777777" w:rsidR="00582573" w:rsidRPr="00EF6836" w:rsidRDefault="00582573" w:rsidP="00EF6836">
            <w:pPr>
              <w:spacing w:after="0" w:line="240" w:lineRule="auto"/>
              <w:ind w:firstLine="0"/>
              <w:rPr>
                <w:sz w:val="24"/>
                <w:szCs w:val="24"/>
                <w:lang w:val="bg-BG"/>
              </w:rPr>
            </w:pPr>
            <w:proofErr w:type="spellStart"/>
            <w:r w:rsidRPr="00EF6836">
              <w:rPr>
                <w:sz w:val="24"/>
                <w:szCs w:val="24"/>
                <w:lang w:val="bg-BG"/>
              </w:rPr>
              <w:t>уч</w:t>
            </w:r>
            <w:proofErr w:type="spellEnd"/>
            <w:r w:rsidRPr="00EF6836">
              <w:rPr>
                <w:sz w:val="24"/>
                <w:szCs w:val="24"/>
                <w:lang w:val="bg-BG"/>
              </w:rPr>
              <w:t>. 2019-2020 г.</w:t>
            </w:r>
          </w:p>
        </w:tc>
        <w:tc>
          <w:tcPr>
            <w:tcW w:w="940" w:type="dxa"/>
            <w:vMerge w:val="restart"/>
            <w:tcBorders>
              <w:top w:val="nil"/>
              <w:left w:val="single" w:sz="4" w:space="0" w:color="000000"/>
              <w:bottom w:val="single" w:sz="8" w:space="0" w:color="000000"/>
              <w:right w:val="nil"/>
            </w:tcBorders>
            <w:shd w:val="clear" w:color="auto" w:fill="auto"/>
            <w:vAlign w:val="center"/>
          </w:tcPr>
          <w:p w14:paraId="7DFDF25D" w14:textId="77777777" w:rsidR="00582573" w:rsidRPr="00EF6836" w:rsidRDefault="00582573" w:rsidP="00EF6836">
            <w:pPr>
              <w:spacing w:after="0" w:line="240" w:lineRule="auto"/>
              <w:ind w:firstLine="0"/>
              <w:rPr>
                <w:sz w:val="24"/>
                <w:szCs w:val="24"/>
                <w:lang w:val="bg-BG"/>
              </w:rPr>
            </w:pPr>
            <w:proofErr w:type="spellStart"/>
            <w:r w:rsidRPr="00EF6836">
              <w:rPr>
                <w:sz w:val="24"/>
                <w:szCs w:val="24"/>
                <w:lang w:val="bg-BG"/>
              </w:rPr>
              <w:t>уч</w:t>
            </w:r>
            <w:proofErr w:type="spellEnd"/>
            <w:r w:rsidRPr="00EF6836">
              <w:rPr>
                <w:sz w:val="24"/>
                <w:szCs w:val="24"/>
                <w:lang w:val="bg-BG"/>
              </w:rPr>
              <w:t>. 2020-2021 г.</w:t>
            </w:r>
          </w:p>
        </w:tc>
        <w:tc>
          <w:tcPr>
            <w:tcW w:w="1341" w:type="dxa"/>
            <w:vMerge w:val="restart"/>
            <w:tcBorders>
              <w:top w:val="nil"/>
              <w:left w:val="single" w:sz="8" w:space="0" w:color="000000"/>
              <w:bottom w:val="single" w:sz="8" w:space="0" w:color="000000"/>
              <w:right w:val="nil"/>
            </w:tcBorders>
            <w:shd w:val="clear" w:color="auto" w:fill="auto"/>
            <w:vAlign w:val="center"/>
          </w:tcPr>
          <w:p w14:paraId="1247DC03" w14:textId="77777777" w:rsidR="00582573" w:rsidRPr="00EF6836" w:rsidRDefault="00582573" w:rsidP="00EF6836">
            <w:pPr>
              <w:spacing w:after="0" w:line="240" w:lineRule="auto"/>
              <w:ind w:firstLine="0"/>
              <w:rPr>
                <w:sz w:val="24"/>
                <w:szCs w:val="24"/>
                <w:lang w:val="bg-BG"/>
              </w:rPr>
            </w:pPr>
            <w:r w:rsidRPr="00EF6836">
              <w:rPr>
                <w:sz w:val="24"/>
                <w:szCs w:val="24"/>
                <w:lang w:val="bg-BG"/>
              </w:rPr>
              <w:t>общо публикации за периода</w:t>
            </w:r>
          </w:p>
        </w:tc>
        <w:tc>
          <w:tcPr>
            <w:tcW w:w="1087" w:type="dxa"/>
            <w:vMerge/>
            <w:tcBorders>
              <w:top w:val="single" w:sz="8" w:space="0" w:color="000000"/>
              <w:left w:val="single" w:sz="4" w:space="0" w:color="000000"/>
              <w:bottom w:val="single" w:sz="8" w:space="0" w:color="000000"/>
              <w:right w:val="single" w:sz="4" w:space="0" w:color="000000"/>
            </w:tcBorders>
            <w:shd w:val="clear" w:color="auto" w:fill="auto"/>
            <w:vAlign w:val="center"/>
          </w:tcPr>
          <w:p w14:paraId="69D02D3D" w14:textId="77777777" w:rsidR="00582573" w:rsidRPr="00EF6836" w:rsidRDefault="00582573" w:rsidP="00C016F8">
            <w:pPr>
              <w:widowControl w:val="0"/>
              <w:pBdr>
                <w:top w:val="nil"/>
                <w:left w:val="nil"/>
                <w:bottom w:val="nil"/>
                <w:right w:val="nil"/>
                <w:between w:val="nil"/>
              </w:pBdr>
              <w:spacing w:after="0"/>
              <w:rPr>
                <w:sz w:val="24"/>
                <w:szCs w:val="24"/>
                <w:lang w:val="bg-BG"/>
              </w:rPr>
            </w:pPr>
          </w:p>
        </w:tc>
        <w:tc>
          <w:tcPr>
            <w:tcW w:w="1494" w:type="dxa"/>
            <w:vMerge/>
            <w:tcBorders>
              <w:top w:val="single" w:sz="8" w:space="0" w:color="000000"/>
              <w:left w:val="single" w:sz="4" w:space="0" w:color="000000"/>
              <w:bottom w:val="single" w:sz="8" w:space="0" w:color="000000"/>
              <w:right w:val="single" w:sz="4" w:space="0" w:color="000000"/>
            </w:tcBorders>
            <w:shd w:val="clear" w:color="auto" w:fill="auto"/>
            <w:vAlign w:val="center"/>
          </w:tcPr>
          <w:p w14:paraId="7264684E" w14:textId="77777777" w:rsidR="00582573" w:rsidRPr="00EF6836" w:rsidRDefault="00582573" w:rsidP="00C016F8">
            <w:pPr>
              <w:widowControl w:val="0"/>
              <w:pBdr>
                <w:top w:val="nil"/>
                <w:left w:val="nil"/>
                <w:bottom w:val="nil"/>
                <w:right w:val="nil"/>
                <w:between w:val="nil"/>
              </w:pBdr>
              <w:spacing w:after="0"/>
              <w:rPr>
                <w:sz w:val="24"/>
                <w:szCs w:val="24"/>
                <w:lang w:val="bg-BG"/>
              </w:rPr>
            </w:pPr>
          </w:p>
        </w:tc>
        <w:tc>
          <w:tcPr>
            <w:tcW w:w="1960"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11026ECD" w14:textId="77777777" w:rsidR="00582573" w:rsidRPr="00EF6836" w:rsidRDefault="00582573" w:rsidP="00C016F8">
            <w:pPr>
              <w:widowControl w:val="0"/>
              <w:pBdr>
                <w:top w:val="nil"/>
                <w:left w:val="nil"/>
                <w:bottom w:val="nil"/>
                <w:right w:val="nil"/>
                <w:between w:val="nil"/>
              </w:pBdr>
              <w:spacing w:after="0"/>
              <w:rPr>
                <w:sz w:val="24"/>
                <w:szCs w:val="24"/>
                <w:lang w:val="bg-BG"/>
              </w:rPr>
            </w:pPr>
          </w:p>
        </w:tc>
      </w:tr>
      <w:tr w:rsidR="00582573" w:rsidRPr="00582573" w14:paraId="296B2A7C" w14:textId="77777777" w:rsidTr="00582573">
        <w:trPr>
          <w:trHeight w:val="675"/>
        </w:trPr>
        <w:tc>
          <w:tcPr>
            <w:tcW w:w="1833"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4FA2D50" w14:textId="77777777" w:rsidR="00582573" w:rsidRPr="00EF6836" w:rsidRDefault="00582573" w:rsidP="00C016F8">
            <w:pPr>
              <w:widowControl w:val="0"/>
              <w:pBdr>
                <w:top w:val="nil"/>
                <w:left w:val="nil"/>
                <w:bottom w:val="nil"/>
                <w:right w:val="nil"/>
                <w:between w:val="nil"/>
              </w:pBdr>
              <w:spacing w:after="0"/>
              <w:rPr>
                <w:sz w:val="24"/>
                <w:szCs w:val="24"/>
                <w:lang w:val="bg-BG"/>
              </w:rPr>
            </w:pPr>
          </w:p>
        </w:tc>
        <w:tc>
          <w:tcPr>
            <w:tcW w:w="912" w:type="dxa"/>
            <w:vMerge/>
            <w:tcBorders>
              <w:top w:val="nil"/>
              <w:left w:val="single" w:sz="4" w:space="0" w:color="000000"/>
              <w:bottom w:val="single" w:sz="8" w:space="0" w:color="000000"/>
              <w:right w:val="single" w:sz="4" w:space="0" w:color="000000"/>
            </w:tcBorders>
            <w:shd w:val="clear" w:color="auto" w:fill="auto"/>
            <w:vAlign w:val="center"/>
          </w:tcPr>
          <w:p w14:paraId="2CA915D4" w14:textId="77777777" w:rsidR="00582573" w:rsidRPr="00EF6836" w:rsidRDefault="00582573" w:rsidP="00C016F8">
            <w:pPr>
              <w:widowControl w:val="0"/>
              <w:pBdr>
                <w:top w:val="nil"/>
                <w:left w:val="nil"/>
                <w:bottom w:val="nil"/>
                <w:right w:val="nil"/>
                <w:between w:val="nil"/>
              </w:pBdr>
              <w:spacing w:after="0"/>
              <w:rPr>
                <w:sz w:val="24"/>
                <w:szCs w:val="24"/>
                <w:lang w:val="bg-BG"/>
              </w:rPr>
            </w:pPr>
          </w:p>
        </w:tc>
        <w:tc>
          <w:tcPr>
            <w:tcW w:w="940" w:type="dxa"/>
            <w:vMerge/>
            <w:tcBorders>
              <w:top w:val="nil"/>
              <w:left w:val="single" w:sz="4" w:space="0" w:color="000000"/>
              <w:bottom w:val="single" w:sz="8" w:space="0" w:color="000000"/>
              <w:right w:val="single" w:sz="4" w:space="0" w:color="000000"/>
            </w:tcBorders>
            <w:shd w:val="clear" w:color="auto" w:fill="auto"/>
            <w:vAlign w:val="center"/>
          </w:tcPr>
          <w:p w14:paraId="6DB72F98" w14:textId="77777777" w:rsidR="00582573" w:rsidRPr="00EF6836" w:rsidRDefault="00582573" w:rsidP="00C016F8">
            <w:pPr>
              <w:widowControl w:val="0"/>
              <w:pBdr>
                <w:top w:val="nil"/>
                <w:left w:val="nil"/>
                <w:bottom w:val="nil"/>
                <w:right w:val="nil"/>
                <w:between w:val="nil"/>
              </w:pBdr>
              <w:spacing w:after="0"/>
              <w:rPr>
                <w:sz w:val="24"/>
                <w:szCs w:val="24"/>
                <w:lang w:val="bg-BG"/>
              </w:rPr>
            </w:pPr>
          </w:p>
        </w:tc>
        <w:tc>
          <w:tcPr>
            <w:tcW w:w="940" w:type="dxa"/>
            <w:vMerge/>
            <w:tcBorders>
              <w:top w:val="nil"/>
              <w:left w:val="single" w:sz="4" w:space="0" w:color="000000"/>
              <w:bottom w:val="single" w:sz="8" w:space="0" w:color="000000"/>
              <w:right w:val="nil"/>
            </w:tcBorders>
            <w:shd w:val="clear" w:color="auto" w:fill="auto"/>
            <w:vAlign w:val="center"/>
          </w:tcPr>
          <w:p w14:paraId="27A9C24C" w14:textId="77777777" w:rsidR="00582573" w:rsidRPr="00EF6836" w:rsidRDefault="00582573" w:rsidP="00C016F8">
            <w:pPr>
              <w:widowControl w:val="0"/>
              <w:pBdr>
                <w:top w:val="nil"/>
                <w:left w:val="nil"/>
                <w:bottom w:val="nil"/>
                <w:right w:val="nil"/>
                <w:between w:val="nil"/>
              </w:pBdr>
              <w:spacing w:after="0"/>
              <w:rPr>
                <w:sz w:val="24"/>
                <w:szCs w:val="24"/>
                <w:lang w:val="bg-BG"/>
              </w:rPr>
            </w:pPr>
          </w:p>
        </w:tc>
        <w:tc>
          <w:tcPr>
            <w:tcW w:w="1341" w:type="dxa"/>
            <w:vMerge/>
            <w:tcBorders>
              <w:top w:val="nil"/>
              <w:left w:val="single" w:sz="8" w:space="0" w:color="000000"/>
              <w:bottom w:val="single" w:sz="8" w:space="0" w:color="000000"/>
              <w:right w:val="nil"/>
            </w:tcBorders>
            <w:shd w:val="clear" w:color="auto" w:fill="auto"/>
            <w:vAlign w:val="center"/>
          </w:tcPr>
          <w:p w14:paraId="368F9CA0" w14:textId="77777777" w:rsidR="00582573" w:rsidRPr="00EF6836" w:rsidRDefault="00582573" w:rsidP="00C016F8">
            <w:pPr>
              <w:widowControl w:val="0"/>
              <w:pBdr>
                <w:top w:val="nil"/>
                <w:left w:val="nil"/>
                <w:bottom w:val="nil"/>
                <w:right w:val="nil"/>
                <w:between w:val="nil"/>
              </w:pBdr>
              <w:spacing w:after="0"/>
              <w:rPr>
                <w:sz w:val="24"/>
                <w:szCs w:val="24"/>
                <w:lang w:val="bg-BG"/>
              </w:rPr>
            </w:pPr>
          </w:p>
        </w:tc>
        <w:tc>
          <w:tcPr>
            <w:tcW w:w="1087" w:type="dxa"/>
            <w:vMerge/>
            <w:tcBorders>
              <w:top w:val="single" w:sz="8" w:space="0" w:color="000000"/>
              <w:left w:val="single" w:sz="4" w:space="0" w:color="000000"/>
              <w:bottom w:val="single" w:sz="8" w:space="0" w:color="000000"/>
              <w:right w:val="single" w:sz="4" w:space="0" w:color="000000"/>
            </w:tcBorders>
            <w:shd w:val="clear" w:color="auto" w:fill="auto"/>
            <w:vAlign w:val="center"/>
          </w:tcPr>
          <w:p w14:paraId="3E7876C0" w14:textId="77777777" w:rsidR="00582573" w:rsidRPr="00EF6836" w:rsidRDefault="00582573" w:rsidP="00C016F8">
            <w:pPr>
              <w:widowControl w:val="0"/>
              <w:pBdr>
                <w:top w:val="nil"/>
                <w:left w:val="nil"/>
                <w:bottom w:val="nil"/>
                <w:right w:val="nil"/>
                <w:between w:val="nil"/>
              </w:pBdr>
              <w:spacing w:after="0"/>
              <w:rPr>
                <w:sz w:val="24"/>
                <w:szCs w:val="24"/>
                <w:lang w:val="bg-BG"/>
              </w:rPr>
            </w:pPr>
          </w:p>
        </w:tc>
        <w:tc>
          <w:tcPr>
            <w:tcW w:w="1494" w:type="dxa"/>
            <w:vMerge/>
            <w:tcBorders>
              <w:top w:val="single" w:sz="8" w:space="0" w:color="000000"/>
              <w:left w:val="single" w:sz="4" w:space="0" w:color="000000"/>
              <w:bottom w:val="single" w:sz="8" w:space="0" w:color="000000"/>
              <w:right w:val="single" w:sz="4" w:space="0" w:color="000000"/>
            </w:tcBorders>
            <w:shd w:val="clear" w:color="auto" w:fill="auto"/>
            <w:vAlign w:val="center"/>
          </w:tcPr>
          <w:p w14:paraId="2E706850" w14:textId="77777777" w:rsidR="00582573" w:rsidRPr="00EF6836" w:rsidRDefault="00582573" w:rsidP="00C016F8">
            <w:pPr>
              <w:widowControl w:val="0"/>
              <w:pBdr>
                <w:top w:val="nil"/>
                <w:left w:val="nil"/>
                <w:bottom w:val="nil"/>
                <w:right w:val="nil"/>
                <w:between w:val="nil"/>
              </w:pBdr>
              <w:spacing w:after="0"/>
              <w:rPr>
                <w:sz w:val="24"/>
                <w:szCs w:val="24"/>
                <w:lang w:val="bg-BG"/>
              </w:rPr>
            </w:pPr>
          </w:p>
        </w:tc>
        <w:tc>
          <w:tcPr>
            <w:tcW w:w="1960"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295E8042" w14:textId="77777777" w:rsidR="00582573" w:rsidRPr="00EF6836" w:rsidRDefault="00582573" w:rsidP="00C016F8">
            <w:pPr>
              <w:widowControl w:val="0"/>
              <w:pBdr>
                <w:top w:val="nil"/>
                <w:left w:val="nil"/>
                <w:bottom w:val="nil"/>
                <w:right w:val="nil"/>
                <w:between w:val="nil"/>
              </w:pBdr>
              <w:spacing w:after="0"/>
              <w:rPr>
                <w:sz w:val="24"/>
                <w:szCs w:val="24"/>
                <w:lang w:val="bg-BG"/>
              </w:rPr>
            </w:pPr>
          </w:p>
        </w:tc>
      </w:tr>
      <w:tr w:rsidR="00582573" w:rsidRPr="00582573" w14:paraId="7E6C48CF" w14:textId="77777777" w:rsidTr="00582573">
        <w:trPr>
          <w:trHeight w:val="315"/>
        </w:trPr>
        <w:tc>
          <w:tcPr>
            <w:tcW w:w="1833" w:type="dxa"/>
            <w:tcBorders>
              <w:top w:val="nil"/>
              <w:left w:val="single" w:sz="4" w:space="0" w:color="000000"/>
              <w:bottom w:val="single" w:sz="4" w:space="0" w:color="000000"/>
              <w:right w:val="nil"/>
            </w:tcBorders>
            <w:shd w:val="clear" w:color="auto" w:fill="FFFFFF"/>
            <w:vAlign w:val="center"/>
          </w:tcPr>
          <w:p w14:paraId="0F49ADF8" w14:textId="77777777" w:rsidR="00582573" w:rsidRPr="00EF6836" w:rsidRDefault="00582573" w:rsidP="00EF6836">
            <w:pPr>
              <w:spacing w:after="0" w:line="240" w:lineRule="auto"/>
              <w:ind w:firstLine="0"/>
              <w:rPr>
                <w:sz w:val="24"/>
                <w:szCs w:val="24"/>
                <w:lang w:val="bg-BG"/>
              </w:rPr>
            </w:pPr>
            <w:r w:rsidRPr="00EF6836">
              <w:rPr>
                <w:sz w:val="24"/>
                <w:szCs w:val="24"/>
                <w:lang w:val="bg-BG"/>
              </w:rPr>
              <w:t>Факултет "Информатика"</w:t>
            </w:r>
          </w:p>
        </w:tc>
        <w:tc>
          <w:tcPr>
            <w:tcW w:w="912" w:type="dxa"/>
            <w:tcBorders>
              <w:top w:val="nil"/>
              <w:left w:val="single" w:sz="4" w:space="0" w:color="000000"/>
              <w:bottom w:val="single" w:sz="4" w:space="0" w:color="000000"/>
              <w:right w:val="single" w:sz="4" w:space="0" w:color="000000"/>
            </w:tcBorders>
            <w:shd w:val="clear" w:color="auto" w:fill="auto"/>
          </w:tcPr>
          <w:p w14:paraId="18A3AB2F"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29</w:t>
            </w:r>
          </w:p>
        </w:tc>
        <w:tc>
          <w:tcPr>
            <w:tcW w:w="940" w:type="dxa"/>
            <w:tcBorders>
              <w:top w:val="nil"/>
              <w:left w:val="nil"/>
              <w:bottom w:val="single" w:sz="4" w:space="0" w:color="000000"/>
              <w:right w:val="single" w:sz="4" w:space="0" w:color="000000"/>
            </w:tcBorders>
            <w:shd w:val="clear" w:color="auto" w:fill="auto"/>
          </w:tcPr>
          <w:p w14:paraId="59EAE45E"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31</w:t>
            </w:r>
          </w:p>
        </w:tc>
        <w:tc>
          <w:tcPr>
            <w:tcW w:w="940" w:type="dxa"/>
            <w:tcBorders>
              <w:top w:val="nil"/>
              <w:left w:val="nil"/>
              <w:bottom w:val="single" w:sz="4" w:space="0" w:color="000000"/>
              <w:right w:val="nil"/>
            </w:tcBorders>
            <w:shd w:val="clear" w:color="auto" w:fill="auto"/>
          </w:tcPr>
          <w:p w14:paraId="2347D021"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28</w:t>
            </w:r>
          </w:p>
        </w:tc>
        <w:tc>
          <w:tcPr>
            <w:tcW w:w="1341" w:type="dxa"/>
            <w:tcBorders>
              <w:top w:val="nil"/>
              <w:left w:val="single" w:sz="8" w:space="0" w:color="000000"/>
              <w:bottom w:val="single" w:sz="4" w:space="0" w:color="000000"/>
              <w:right w:val="single" w:sz="8" w:space="0" w:color="000000"/>
            </w:tcBorders>
            <w:shd w:val="clear" w:color="auto" w:fill="auto"/>
          </w:tcPr>
          <w:p w14:paraId="15083DA2"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88</w:t>
            </w:r>
          </w:p>
        </w:tc>
        <w:tc>
          <w:tcPr>
            <w:tcW w:w="1087" w:type="dxa"/>
            <w:tcBorders>
              <w:top w:val="nil"/>
              <w:left w:val="nil"/>
              <w:bottom w:val="single" w:sz="4" w:space="0" w:color="000000"/>
              <w:right w:val="single" w:sz="4" w:space="0" w:color="000000"/>
            </w:tcBorders>
            <w:shd w:val="clear" w:color="auto" w:fill="FFFFFF"/>
          </w:tcPr>
          <w:p w14:paraId="783139CD" w14:textId="77777777" w:rsidR="00582573" w:rsidRPr="00EF6836" w:rsidRDefault="00582573" w:rsidP="00EF6836">
            <w:pPr>
              <w:spacing w:after="0" w:line="240" w:lineRule="auto"/>
              <w:ind w:firstLine="0"/>
              <w:jc w:val="center"/>
              <w:rPr>
                <w:b/>
                <w:sz w:val="24"/>
                <w:szCs w:val="24"/>
                <w:lang w:val="bg-BG"/>
              </w:rPr>
            </w:pPr>
            <w:r w:rsidRPr="00EF6836">
              <w:rPr>
                <w:b/>
                <w:sz w:val="24"/>
                <w:szCs w:val="24"/>
                <w:lang w:val="bg-BG"/>
              </w:rPr>
              <w:t>41</w:t>
            </w:r>
          </w:p>
        </w:tc>
        <w:tc>
          <w:tcPr>
            <w:tcW w:w="1494" w:type="dxa"/>
            <w:tcBorders>
              <w:top w:val="nil"/>
              <w:left w:val="nil"/>
              <w:bottom w:val="single" w:sz="4" w:space="0" w:color="000000"/>
              <w:right w:val="nil"/>
            </w:tcBorders>
            <w:shd w:val="clear" w:color="auto" w:fill="auto"/>
          </w:tcPr>
          <w:p w14:paraId="13837865" w14:textId="77777777" w:rsidR="00582573" w:rsidRPr="00EF6836" w:rsidRDefault="00582573" w:rsidP="00EF6836">
            <w:pPr>
              <w:spacing w:after="0" w:line="240" w:lineRule="auto"/>
              <w:jc w:val="center"/>
              <w:rPr>
                <w:sz w:val="24"/>
                <w:szCs w:val="24"/>
                <w:lang w:val="bg-BG"/>
              </w:rPr>
            </w:pPr>
            <w:r w:rsidRPr="00EF6836">
              <w:rPr>
                <w:sz w:val="24"/>
                <w:szCs w:val="24"/>
                <w:lang w:val="bg-BG"/>
              </w:rPr>
              <w:t>2,15</w:t>
            </w:r>
          </w:p>
        </w:tc>
        <w:tc>
          <w:tcPr>
            <w:tcW w:w="1960" w:type="dxa"/>
            <w:tcBorders>
              <w:top w:val="nil"/>
              <w:left w:val="single" w:sz="8" w:space="0" w:color="000000"/>
              <w:bottom w:val="single" w:sz="4" w:space="0" w:color="000000"/>
              <w:right w:val="single" w:sz="8" w:space="0" w:color="000000"/>
            </w:tcBorders>
            <w:shd w:val="clear" w:color="auto" w:fill="auto"/>
          </w:tcPr>
          <w:p w14:paraId="35AE652D" w14:textId="77777777" w:rsidR="00582573" w:rsidRPr="00EF6836" w:rsidRDefault="00582573" w:rsidP="00EF6836">
            <w:pPr>
              <w:spacing w:after="0" w:line="240" w:lineRule="auto"/>
              <w:jc w:val="center"/>
              <w:rPr>
                <w:b/>
                <w:sz w:val="24"/>
                <w:szCs w:val="24"/>
                <w:lang w:val="bg-BG"/>
              </w:rPr>
            </w:pPr>
            <w:r w:rsidRPr="00EF6836">
              <w:rPr>
                <w:b/>
                <w:sz w:val="24"/>
                <w:szCs w:val="24"/>
                <w:lang w:val="bg-BG"/>
              </w:rPr>
              <w:t>42,72%</w:t>
            </w:r>
          </w:p>
        </w:tc>
      </w:tr>
      <w:tr w:rsidR="00582573" w:rsidRPr="00582573" w14:paraId="7A2649F4" w14:textId="77777777" w:rsidTr="00582573">
        <w:trPr>
          <w:trHeight w:val="315"/>
        </w:trPr>
        <w:tc>
          <w:tcPr>
            <w:tcW w:w="1833" w:type="dxa"/>
            <w:tcBorders>
              <w:top w:val="nil"/>
              <w:left w:val="single" w:sz="4" w:space="0" w:color="000000"/>
              <w:bottom w:val="single" w:sz="4" w:space="0" w:color="000000"/>
              <w:right w:val="nil"/>
            </w:tcBorders>
            <w:shd w:val="clear" w:color="auto" w:fill="FFFFFF"/>
            <w:vAlign w:val="center"/>
          </w:tcPr>
          <w:p w14:paraId="1B3228C2" w14:textId="77777777" w:rsidR="00582573" w:rsidRPr="00EF6836" w:rsidRDefault="00582573" w:rsidP="00EF6836">
            <w:pPr>
              <w:spacing w:after="0" w:line="240" w:lineRule="auto"/>
              <w:ind w:firstLine="0"/>
              <w:rPr>
                <w:sz w:val="24"/>
                <w:szCs w:val="24"/>
                <w:lang w:val="bg-BG"/>
              </w:rPr>
            </w:pPr>
            <w:r w:rsidRPr="00EF6836">
              <w:rPr>
                <w:sz w:val="24"/>
                <w:szCs w:val="24"/>
                <w:lang w:val="bg-BG"/>
              </w:rPr>
              <w:t>Стопански факултет</w:t>
            </w:r>
          </w:p>
        </w:tc>
        <w:tc>
          <w:tcPr>
            <w:tcW w:w="912" w:type="dxa"/>
            <w:tcBorders>
              <w:top w:val="nil"/>
              <w:left w:val="single" w:sz="4" w:space="0" w:color="000000"/>
              <w:bottom w:val="single" w:sz="4" w:space="0" w:color="000000"/>
              <w:right w:val="single" w:sz="4" w:space="0" w:color="000000"/>
            </w:tcBorders>
            <w:shd w:val="clear" w:color="auto" w:fill="auto"/>
          </w:tcPr>
          <w:p w14:paraId="6E52622E"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9</w:t>
            </w:r>
          </w:p>
        </w:tc>
        <w:tc>
          <w:tcPr>
            <w:tcW w:w="940" w:type="dxa"/>
            <w:tcBorders>
              <w:top w:val="nil"/>
              <w:left w:val="nil"/>
              <w:bottom w:val="single" w:sz="4" w:space="0" w:color="000000"/>
              <w:right w:val="single" w:sz="4" w:space="0" w:color="000000"/>
            </w:tcBorders>
            <w:shd w:val="clear" w:color="auto" w:fill="auto"/>
          </w:tcPr>
          <w:p w14:paraId="698D7864"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12</w:t>
            </w:r>
          </w:p>
        </w:tc>
        <w:tc>
          <w:tcPr>
            <w:tcW w:w="940" w:type="dxa"/>
            <w:tcBorders>
              <w:top w:val="nil"/>
              <w:left w:val="nil"/>
              <w:bottom w:val="single" w:sz="4" w:space="0" w:color="000000"/>
              <w:right w:val="nil"/>
            </w:tcBorders>
            <w:shd w:val="clear" w:color="auto" w:fill="auto"/>
          </w:tcPr>
          <w:p w14:paraId="735093EE"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19</w:t>
            </w:r>
          </w:p>
        </w:tc>
        <w:tc>
          <w:tcPr>
            <w:tcW w:w="1341" w:type="dxa"/>
            <w:tcBorders>
              <w:top w:val="nil"/>
              <w:left w:val="single" w:sz="8" w:space="0" w:color="000000"/>
              <w:bottom w:val="single" w:sz="4" w:space="0" w:color="000000"/>
              <w:right w:val="single" w:sz="8" w:space="0" w:color="000000"/>
            </w:tcBorders>
            <w:shd w:val="clear" w:color="auto" w:fill="auto"/>
          </w:tcPr>
          <w:p w14:paraId="7547F81C"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40</w:t>
            </w:r>
          </w:p>
        </w:tc>
        <w:tc>
          <w:tcPr>
            <w:tcW w:w="1087" w:type="dxa"/>
            <w:tcBorders>
              <w:top w:val="nil"/>
              <w:left w:val="nil"/>
              <w:bottom w:val="single" w:sz="4" w:space="0" w:color="000000"/>
              <w:right w:val="single" w:sz="4" w:space="0" w:color="000000"/>
            </w:tcBorders>
            <w:shd w:val="clear" w:color="auto" w:fill="FFFFFF"/>
          </w:tcPr>
          <w:p w14:paraId="650644AD" w14:textId="77777777" w:rsidR="00582573" w:rsidRPr="00EF6836" w:rsidRDefault="00582573" w:rsidP="00EF6836">
            <w:pPr>
              <w:spacing w:after="0" w:line="240" w:lineRule="auto"/>
              <w:ind w:firstLine="0"/>
              <w:jc w:val="center"/>
              <w:rPr>
                <w:b/>
                <w:sz w:val="24"/>
                <w:szCs w:val="24"/>
                <w:lang w:val="bg-BG"/>
              </w:rPr>
            </w:pPr>
            <w:r w:rsidRPr="00EF6836">
              <w:rPr>
                <w:b/>
                <w:sz w:val="24"/>
                <w:szCs w:val="24"/>
                <w:lang w:val="bg-BG"/>
              </w:rPr>
              <w:t>50</w:t>
            </w:r>
          </w:p>
        </w:tc>
        <w:tc>
          <w:tcPr>
            <w:tcW w:w="1494" w:type="dxa"/>
            <w:tcBorders>
              <w:top w:val="nil"/>
              <w:left w:val="nil"/>
              <w:bottom w:val="single" w:sz="4" w:space="0" w:color="000000"/>
              <w:right w:val="nil"/>
            </w:tcBorders>
            <w:shd w:val="clear" w:color="auto" w:fill="auto"/>
          </w:tcPr>
          <w:p w14:paraId="3C85A073" w14:textId="77777777" w:rsidR="00582573" w:rsidRPr="00EF6836" w:rsidRDefault="00582573" w:rsidP="00EF6836">
            <w:pPr>
              <w:spacing w:after="0" w:line="240" w:lineRule="auto"/>
              <w:jc w:val="center"/>
              <w:rPr>
                <w:sz w:val="24"/>
                <w:szCs w:val="24"/>
                <w:lang w:val="bg-BG"/>
              </w:rPr>
            </w:pPr>
            <w:r w:rsidRPr="00EF6836">
              <w:rPr>
                <w:sz w:val="24"/>
                <w:szCs w:val="24"/>
                <w:lang w:val="bg-BG"/>
              </w:rPr>
              <w:t>0,80</w:t>
            </w:r>
          </w:p>
        </w:tc>
        <w:tc>
          <w:tcPr>
            <w:tcW w:w="1960" w:type="dxa"/>
            <w:tcBorders>
              <w:top w:val="nil"/>
              <w:left w:val="single" w:sz="8" w:space="0" w:color="000000"/>
              <w:bottom w:val="single" w:sz="4" w:space="0" w:color="000000"/>
              <w:right w:val="single" w:sz="8" w:space="0" w:color="000000"/>
            </w:tcBorders>
            <w:shd w:val="clear" w:color="auto" w:fill="auto"/>
          </w:tcPr>
          <w:p w14:paraId="6D69426D" w14:textId="77777777" w:rsidR="00582573" w:rsidRPr="00EF6836" w:rsidRDefault="00582573" w:rsidP="00EF6836">
            <w:pPr>
              <w:spacing w:after="0" w:line="240" w:lineRule="auto"/>
              <w:jc w:val="center"/>
              <w:rPr>
                <w:b/>
                <w:sz w:val="24"/>
                <w:szCs w:val="24"/>
                <w:lang w:val="bg-BG"/>
              </w:rPr>
            </w:pPr>
            <w:r w:rsidRPr="00EF6836">
              <w:rPr>
                <w:b/>
                <w:sz w:val="24"/>
                <w:szCs w:val="24"/>
                <w:lang w:val="bg-BG"/>
              </w:rPr>
              <w:t>19,42%</w:t>
            </w:r>
          </w:p>
        </w:tc>
      </w:tr>
      <w:tr w:rsidR="00582573" w:rsidRPr="00582573" w14:paraId="7BD920C7" w14:textId="77777777" w:rsidTr="00582573">
        <w:trPr>
          <w:trHeight w:val="630"/>
        </w:trPr>
        <w:tc>
          <w:tcPr>
            <w:tcW w:w="1833" w:type="dxa"/>
            <w:tcBorders>
              <w:top w:val="nil"/>
              <w:left w:val="single" w:sz="4" w:space="0" w:color="000000"/>
              <w:bottom w:val="single" w:sz="4" w:space="0" w:color="000000"/>
              <w:right w:val="nil"/>
            </w:tcBorders>
            <w:shd w:val="clear" w:color="auto" w:fill="FFFFFF"/>
            <w:vAlign w:val="center"/>
          </w:tcPr>
          <w:p w14:paraId="29F0074F" w14:textId="77777777" w:rsidR="00582573" w:rsidRPr="00EF6836" w:rsidRDefault="00582573" w:rsidP="00EF6836">
            <w:pPr>
              <w:spacing w:after="0" w:line="240" w:lineRule="auto"/>
              <w:ind w:firstLine="0"/>
              <w:rPr>
                <w:sz w:val="24"/>
                <w:szCs w:val="24"/>
                <w:lang w:val="bg-BG"/>
              </w:rPr>
            </w:pPr>
            <w:r w:rsidRPr="00EF6836">
              <w:rPr>
                <w:sz w:val="24"/>
                <w:szCs w:val="24"/>
                <w:lang w:val="bg-BG"/>
              </w:rPr>
              <w:t>Финансово-счетоводен факултет</w:t>
            </w:r>
          </w:p>
        </w:tc>
        <w:tc>
          <w:tcPr>
            <w:tcW w:w="912" w:type="dxa"/>
            <w:tcBorders>
              <w:top w:val="nil"/>
              <w:left w:val="single" w:sz="4" w:space="0" w:color="000000"/>
              <w:bottom w:val="single" w:sz="4" w:space="0" w:color="000000"/>
              <w:right w:val="single" w:sz="4" w:space="0" w:color="000000"/>
            </w:tcBorders>
            <w:shd w:val="clear" w:color="auto" w:fill="auto"/>
          </w:tcPr>
          <w:p w14:paraId="78552A4D"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8</w:t>
            </w:r>
          </w:p>
        </w:tc>
        <w:tc>
          <w:tcPr>
            <w:tcW w:w="940" w:type="dxa"/>
            <w:tcBorders>
              <w:top w:val="nil"/>
              <w:left w:val="nil"/>
              <w:bottom w:val="single" w:sz="4" w:space="0" w:color="000000"/>
              <w:right w:val="single" w:sz="4" w:space="0" w:color="000000"/>
            </w:tcBorders>
            <w:shd w:val="clear" w:color="auto" w:fill="auto"/>
          </w:tcPr>
          <w:p w14:paraId="7644CC8C"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9</w:t>
            </w:r>
          </w:p>
        </w:tc>
        <w:tc>
          <w:tcPr>
            <w:tcW w:w="940" w:type="dxa"/>
            <w:tcBorders>
              <w:top w:val="nil"/>
              <w:left w:val="nil"/>
              <w:bottom w:val="single" w:sz="4" w:space="0" w:color="000000"/>
              <w:right w:val="nil"/>
            </w:tcBorders>
            <w:shd w:val="clear" w:color="auto" w:fill="auto"/>
          </w:tcPr>
          <w:p w14:paraId="48680B5F"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8</w:t>
            </w:r>
          </w:p>
        </w:tc>
        <w:tc>
          <w:tcPr>
            <w:tcW w:w="1341" w:type="dxa"/>
            <w:tcBorders>
              <w:top w:val="nil"/>
              <w:left w:val="single" w:sz="8" w:space="0" w:color="000000"/>
              <w:bottom w:val="single" w:sz="4" w:space="0" w:color="000000"/>
              <w:right w:val="single" w:sz="8" w:space="0" w:color="000000"/>
            </w:tcBorders>
            <w:shd w:val="clear" w:color="auto" w:fill="auto"/>
          </w:tcPr>
          <w:p w14:paraId="5A8926BC"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25</w:t>
            </w:r>
          </w:p>
        </w:tc>
        <w:tc>
          <w:tcPr>
            <w:tcW w:w="1087" w:type="dxa"/>
            <w:tcBorders>
              <w:top w:val="nil"/>
              <w:left w:val="nil"/>
              <w:bottom w:val="single" w:sz="4" w:space="0" w:color="000000"/>
              <w:right w:val="single" w:sz="4" w:space="0" w:color="000000"/>
            </w:tcBorders>
            <w:shd w:val="clear" w:color="auto" w:fill="FFFFFF"/>
          </w:tcPr>
          <w:p w14:paraId="5A9FD15D" w14:textId="77777777" w:rsidR="00582573" w:rsidRPr="00EF6836" w:rsidRDefault="00582573" w:rsidP="00EF6836">
            <w:pPr>
              <w:spacing w:after="0" w:line="240" w:lineRule="auto"/>
              <w:ind w:firstLine="0"/>
              <w:jc w:val="center"/>
              <w:rPr>
                <w:b/>
                <w:sz w:val="24"/>
                <w:szCs w:val="24"/>
                <w:lang w:val="bg-BG"/>
              </w:rPr>
            </w:pPr>
            <w:r w:rsidRPr="00EF6836">
              <w:rPr>
                <w:b/>
                <w:sz w:val="24"/>
                <w:szCs w:val="24"/>
                <w:lang w:val="bg-BG"/>
              </w:rPr>
              <w:t>60</w:t>
            </w:r>
          </w:p>
        </w:tc>
        <w:tc>
          <w:tcPr>
            <w:tcW w:w="1494" w:type="dxa"/>
            <w:tcBorders>
              <w:top w:val="nil"/>
              <w:left w:val="nil"/>
              <w:bottom w:val="single" w:sz="4" w:space="0" w:color="000000"/>
              <w:right w:val="nil"/>
            </w:tcBorders>
            <w:shd w:val="clear" w:color="auto" w:fill="auto"/>
          </w:tcPr>
          <w:p w14:paraId="402FB92C" w14:textId="77777777" w:rsidR="00582573" w:rsidRPr="00EF6836" w:rsidRDefault="00582573" w:rsidP="00EF6836">
            <w:pPr>
              <w:spacing w:after="0" w:line="240" w:lineRule="auto"/>
              <w:jc w:val="center"/>
              <w:rPr>
                <w:sz w:val="24"/>
                <w:szCs w:val="24"/>
                <w:lang w:val="bg-BG"/>
              </w:rPr>
            </w:pPr>
            <w:r w:rsidRPr="00EF6836">
              <w:rPr>
                <w:sz w:val="24"/>
                <w:szCs w:val="24"/>
                <w:lang w:val="bg-BG"/>
              </w:rPr>
              <w:t>0,42</w:t>
            </w:r>
          </w:p>
        </w:tc>
        <w:tc>
          <w:tcPr>
            <w:tcW w:w="1960" w:type="dxa"/>
            <w:tcBorders>
              <w:top w:val="nil"/>
              <w:left w:val="single" w:sz="8" w:space="0" w:color="000000"/>
              <w:bottom w:val="single" w:sz="4" w:space="0" w:color="000000"/>
              <w:right w:val="single" w:sz="8" w:space="0" w:color="000000"/>
            </w:tcBorders>
            <w:shd w:val="clear" w:color="auto" w:fill="auto"/>
          </w:tcPr>
          <w:p w14:paraId="01DFA567" w14:textId="77777777" w:rsidR="00582573" w:rsidRPr="00EF6836" w:rsidRDefault="00582573" w:rsidP="00EF6836">
            <w:pPr>
              <w:spacing w:after="0" w:line="240" w:lineRule="auto"/>
              <w:jc w:val="center"/>
              <w:rPr>
                <w:b/>
                <w:sz w:val="24"/>
                <w:szCs w:val="24"/>
                <w:lang w:val="bg-BG"/>
              </w:rPr>
            </w:pPr>
            <w:r w:rsidRPr="00EF6836">
              <w:rPr>
                <w:b/>
                <w:sz w:val="24"/>
                <w:szCs w:val="24"/>
                <w:lang w:val="bg-BG"/>
              </w:rPr>
              <w:t>12,14%</w:t>
            </w:r>
          </w:p>
        </w:tc>
      </w:tr>
      <w:tr w:rsidR="00582573" w:rsidRPr="00582573" w14:paraId="350D7194" w14:textId="77777777" w:rsidTr="00582573">
        <w:trPr>
          <w:trHeight w:val="315"/>
        </w:trPr>
        <w:tc>
          <w:tcPr>
            <w:tcW w:w="1833" w:type="dxa"/>
            <w:tcBorders>
              <w:top w:val="nil"/>
              <w:left w:val="single" w:sz="4" w:space="0" w:color="000000"/>
              <w:bottom w:val="single" w:sz="4" w:space="0" w:color="000000"/>
              <w:right w:val="nil"/>
            </w:tcBorders>
            <w:shd w:val="clear" w:color="auto" w:fill="FFFFFF"/>
            <w:vAlign w:val="center"/>
          </w:tcPr>
          <w:p w14:paraId="53CB739F" w14:textId="77777777" w:rsidR="00582573" w:rsidRPr="00EF6836" w:rsidRDefault="00582573" w:rsidP="00EF6836">
            <w:pPr>
              <w:spacing w:after="0" w:line="240" w:lineRule="auto"/>
              <w:ind w:firstLine="0"/>
              <w:rPr>
                <w:sz w:val="24"/>
                <w:szCs w:val="24"/>
                <w:lang w:val="bg-BG"/>
              </w:rPr>
            </w:pPr>
            <w:r w:rsidRPr="00EF6836">
              <w:rPr>
                <w:sz w:val="24"/>
                <w:szCs w:val="24"/>
                <w:lang w:val="bg-BG"/>
              </w:rPr>
              <w:t>Факултет "Управление"</w:t>
            </w:r>
          </w:p>
        </w:tc>
        <w:tc>
          <w:tcPr>
            <w:tcW w:w="912" w:type="dxa"/>
            <w:tcBorders>
              <w:top w:val="nil"/>
              <w:left w:val="single" w:sz="4" w:space="0" w:color="000000"/>
              <w:bottom w:val="single" w:sz="4" w:space="0" w:color="000000"/>
              <w:right w:val="single" w:sz="4" w:space="0" w:color="000000"/>
            </w:tcBorders>
            <w:shd w:val="clear" w:color="auto" w:fill="auto"/>
          </w:tcPr>
          <w:p w14:paraId="3F1F78F2"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17</w:t>
            </w:r>
          </w:p>
        </w:tc>
        <w:tc>
          <w:tcPr>
            <w:tcW w:w="940" w:type="dxa"/>
            <w:tcBorders>
              <w:top w:val="nil"/>
              <w:left w:val="nil"/>
              <w:bottom w:val="single" w:sz="4" w:space="0" w:color="000000"/>
              <w:right w:val="single" w:sz="4" w:space="0" w:color="000000"/>
            </w:tcBorders>
            <w:shd w:val="clear" w:color="auto" w:fill="auto"/>
          </w:tcPr>
          <w:p w14:paraId="356FC21E"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13</w:t>
            </w:r>
          </w:p>
        </w:tc>
        <w:tc>
          <w:tcPr>
            <w:tcW w:w="940" w:type="dxa"/>
            <w:tcBorders>
              <w:top w:val="nil"/>
              <w:left w:val="nil"/>
              <w:bottom w:val="single" w:sz="4" w:space="0" w:color="000000"/>
              <w:right w:val="nil"/>
            </w:tcBorders>
            <w:shd w:val="clear" w:color="auto" w:fill="auto"/>
          </w:tcPr>
          <w:p w14:paraId="1B76C973"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20</w:t>
            </w:r>
          </w:p>
        </w:tc>
        <w:tc>
          <w:tcPr>
            <w:tcW w:w="1341" w:type="dxa"/>
            <w:tcBorders>
              <w:top w:val="nil"/>
              <w:left w:val="single" w:sz="8" w:space="0" w:color="000000"/>
              <w:bottom w:val="single" w:sz="4" w:space="0" w:color="000000"/>
              <w:right w:val="single" w:sz="8" w:space="0" w:color="000000"/>
            </w:tcBorders>
            <w:shd w:val="clear" w:color="auto" w:fill="auto"/>
          </w:tcPr>
          <w:p w14:paraId="371AFE5F"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50</w:t>
            </w:r>
          </w:p>
        </w:tc>
        <w:tc>
          <w:tcPr>
            <w:tcW w:w="1087" w:type="dxa"/>
            <w:tcBorders>
              <w:top w:val="nil"/>
              <w:left w:val="nil"/>
              <w:bottom w:val="single" w:sz="4" w:space="0" w:color="000000"/>
              <w:right w:val="single" w:sz="4" w:space="0" w:color="000000"/>
            </w:tcBorders>
            <w:shd w:val="clear" w:color="auto" w:fill="FFFFFF"/>
          </w:tcPr>
          <w:p w14:paraId="219D41D4" w14:textId="77777777" w:rsidR="00582573" w:rsidRPr="00EF6836" w:rsidRDefault="00582573" w:rsidP="00EF6836">
            <w:pPr>
              <w:spacing w:after="0" w:line="240" w:lineRule="auto"/>
              <w:ind w:firstLine="0"/>
              <w:jc w:val="center"/>
              <w:rPr>
                <w:b/>
                <w:sz w:val="24"/>
                <w:szCs w:val="24"/>
                <w:lang w:val="bg-BG"/>
              </w:rPr>
            </w:pPr>
            <w:r w:rsidRPr="00EF6836">
              <w:rPr>
                <w:b/>
                <w:sz w:val="24"/>
                <w:szCs w:val="24"/>
                <w:lang w:val="bg-BG"/>
              </w:rPr>
              <w:t>43</w:t>
            </w:r>
          </w:p>
        </w:tc>
        <w:tc>
          <w:tcPr>
            <w:tcW w:w="1494" w:type="dxa"/>
            <w:tcBorders>
              <w:top w:val="nil"/>
              <w:left w:val="nil"/>
              <w:bottom w:val="single" w:sz="4" w:space="0" w:color="000000"/>
              <w:right w:val="nil"/>
            </w:tcBorders>
            <w:shd w:val="clear" w:color="auto" w:fill="auto"/>
          </w:tcPr>
          <w:p w14:paraId="28F32826" w14:textId="77777777" w:rsidR="00582573" w:rsidRPr="00EF6836" w:rsidRDefault="00582573" w:rsidP="00EF6836">
            <w:pPr>
              <w:spacing w:after="0" w:line="240" w:lineRule="auto"/>
              <w:jc w:val="center"/>
              <w:rPr>
                <w:sz w:val="24"/>
                <w:szCs w:val="24"/>
                <w:lang w:val="bg-BG"/>
              </w:rPr>
            </w:pPr>
            <w:r w:rsidRPr="00EF6836">
              <w:rPr>
                <w:sz w:val="24"/>
                <w:szCs w:val="24"/>
                <w:lang w:val="bg-BG"/>
              </w:rPr>
              <w:t>1,16</w:t>
            </w:r>
          </w:p>
        </w:tc>
        <w:tc>
          <w:tcPr>
            <w:tcW w:w="1960" w:type="dxa"/>
            <w:tcBorders>
              <w:top w:val="nil"/>
              <w:left w:val="single" w:sz="8" w:space="0" w:color="000000"/>
              <w:bottom w:val="single" w:sz="4" w:space="0" w:color="000000"/>
              <w:right w:val="single" w:sz="8" w:space="0" w:color="000000"/>
            </w:tcBorders>
            <w:shd w:val="clear" w:color="auto" w:fill="auto"/>
          </w:tcPr>
          <w:p w14:paraId="1358143F" w14:textId="77777777" w:rsidR="00582573" w:rsidRPr="00EF6836" w:rsidRDefault="00582573" w:rsidP="00EF6836">
            <w:pPr>
              <w:spacing w:after="0" w:line="240" w:lineRule="auto"/>
              <w:jc w:val="center"/>
              <w:rPr>
                <w:b/>
                <w:sz w:val="24"/>
                <w:szCs w:val="24"/>
                <w:lang w:val="bg-BG"/>
              </w:rPr>
            </w:pPr>
            <w:r w:rsidRPr="00EF6836">
              <w:rPr>
                <w:b/>
                <w:sz w:val="24"/>
                <w:szCs w:val="24"/>
                <w:lang w:val="bg-BG"/>
              </w:rPr>
              <w:t>24,27%</w:t>
            </w:r>
          </w:p>
        </w:tc>
      </w:tr>
      <w:tr w:rsidR="00582573" w:rsidRPr="00582573" w14:paraId="404810D7" w14:textId="77777777" w:rsidTr="00582573">
        <w:trPr>
          <w:trHeight w:val="630"/>
        </w:trPr>
        <w:tc>
          <w:tcPr>
            <w:tcW w:w="1833" w:type="dxa"/>
            <w:tcBorders>
              <w:top w:val="nil"/>
              <w:left w:val="single" w:sz="4" w:space="0" w:color="000000"/>
              <w:bottom w:val="single" w:sz="4" w:space="0" w:color="000000"/>
              <w:right w:val="nil"/>
            </w:tcBorders>
            <w:shd w:val="clear" w:color="auto" w:fill="FFFFFF"/>
            <w:vAlign w:val="center"/>
          </w:tcPr>
          <w:p w14:paraId="5FCB198C" w14:textId="77777777" w:rsidR="00582573" w:rsidRPr="00EF6836" w:rsidRDefault="00582573" w:rsidP="00EF6836">
            <w:pPr>
              <w:spacing w:after="0" w:line="240" w:lineRule="auto"/>
              <w:ind w:firstLine="0"/>
              <w:rPr>
                <w:sz w:val="24"/>
                <w:szCs w:val="24"/>
                <w:lang w:val="bg-BG"/>
              </w:rPr>
            </w:pPr>
            <w:r w:rsidRPr="00EF6836">
              <w:rPr>
                <w:sz w:val="24"/>
                <w:szCs w:val="24"/>
                <w:lang w:val="bg-BG"/>
              </w:rPr>
              <w:t>Департамент "Езиково обучение"</w:t>
            </w:r>
          </w:p>
        </w:tc>
        <w:tc>
          <w:tcPr>
            <w:tcW w:w="912" w:type="dxa"/>
            <w:tcBorders>
              <w:top w:val="nil"/>
              <w:left w:val="single" w:sz="4" w:space="0" w:color="000000"/>
              <w:bottom w:val="single" w:sz="4" w:space="0" w:color="000000"/>
              <w:right w:val="single" w:sz="4" w:space="0" w:color="000000"/>
            </w:tcBorders>
            <w:shd w:val="clear" w:color="auto" w:fill="auto"/>
          </w:tcPr>
          <w:p w14:paraId="0DA00773"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0</w:t>
            </w:r>
          </w:p>
        </w:tc>
        <w:tc>
          <w:tcPr>
            <w:tcW w:w="940" w:type="dxa"/>
            <w:tcBorders>
              <w:top w:val="nil"/>
              <w:left w:val="nil"/>
              <w:bottom w:val="single" w:sz="4" w:space="0" w:color="000000"/>
              <w:right w:val="single" w:sz="4" w:space="0" w:color="000000"/>
            </w:tcBorders>
            <w:shd w:val="clear" w:color="auto" w:fill="auto"/>
          </w:tcPr>
          <w:p w14:paraId="4F4A765B"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0</w:t>
            </w:r>
          </w:p>
        </w:tc>
        <w:tc>
          <w:tcPr>
            <w:tcW w:w="940" w:type="dxa"/>
            <w:tcBorders>
              <w:top w:val="nil"/>
              <w:left w:val="nil"/>
              <w:bottom w:val="single" w:sz="4" w:space="0" w:color="000000"/>
              <w:right w:val="nil"/>
            </w:tcBorders>
            <w:shd w:val="clear" w:color="auto" w:fill="auto"/>
          </w:tcPr>
          <w:p w14:paraId="76AB6802"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1</w:t>
            </w:r>
          </w:p>
        </w:tc>
        <w:tc>
          <w:tcPr>
            <w:tcW w:w="1341" w:type="dxa"/>
            <w:tcBorders>
              <w:top w:val="nil"/>
              <w:left w:val="single" w:sz="8" w:space="0" w:color="000000"/>
              <w:bottom w:val="single" w:sz="4" w:space="0" w:color="000000"/>
              <w:right w:val="single" w:sz="8" w:space="0" w:color="000000"/>
            </w:tcBorders>
            <w:shd w:val="clear" w:color="auto" w:fill="auto"/>
          </w:tcPr>
          <w:p w14:paraId="28C20499"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1</w:t>
            </w:r>
          </w:p>
        </w:tc>
        <w:tc>
          <w:tcPr>
            <w:tcW w:w="1087" w:type="dxa"/>
            <w:tcBorders>
              <w:top w:val="nil"/>
              <w:left w:val="nil"/>
              <w:bottom w:val="single" w:sz="4" w:space="0" w:color="000000"/>
              <w:right w:val="single" w:sz="4" w:space="0" w:color="000000"/>
            </w:tcBorders>
            <w:shd w:val="clear" w:color="auto" w:fill="FFFFFF"/>
          </w:tcPr>
          <w:p w14:paraId="36371C67" w14:textId="77777777" w:rsidR="00582573" w:rsidRPr="00EF6836" w:rsidRDefault="00582573" w:rsidP="00EF6836">
            <w:pPr>
              <w:spacing w:after="0" w:line="240" w:lineRule="auto"/>
              <w:ind w:firstLine="0"/>
              <w:jc w:val="center"/>
              <w:rPr>
                <w:b/>
                <w:sz w:val="24"/>
                <w:szCs w:val="24"/>
                <w:lang w:val="bg-BG"/>
              </w:rPr>
            </w:pPr>
            <w:r w:rsidRPr="00EF6836">
              <w:rPr>
                <w:b/>
                <w:sz w:val="24"/>
                <w:szCs w:val="24"/>
                <w:lang w:val="bg-BG"/>
              </w:rPr>
              <w:t>13</w:t>
            </w:r>
          </w:p>
        </w:tc>
        <w:tc>
          <w:tcPr>
            <w:tcW w:w="1494" w:type="dxa"/>
            <w:tcBorders>
              <w:top w:val="nil"/>
              <w:left w:val="nil"/>
              <w:bottom w:val="single" w:sz="4" w:space="0" w:color="000000"/>
              <w:right w:val="nil"/>
            </w:tcBorders>
            <w:shd w:val="clear" w:color="auto" w:fill="auto"/>
          </w:tcPr>
          <w:p w14:paraId="7B496572" w14:textId="77777777" w:rsidR="00582573" w:rsidRPr="00EF6836" w:rsidRDefault="00582573" w:rsidP="00EF6836">
            <w:pPr>
              <w:spacing w:after="0" w:line="240" w:lineRule="auto"/>
              <w:jc w:val="center"/>
              <w:rPr>
                <w:sz w:val="24"/>
                <w:szCs w:val="24"/>
                <w:lang w:val="bg-BG"/>
              </w:rPr>
            </w:pPr>
            <w:r w:rsidRPr="00EF6836">
              <w:rPr>
                <w:sz w:val="24"/>
                <w:szCs w:val="24"/>
                <w:lang w:val="bg-BG"/>
              </w:rPr>
              <w:t>0,08</w:t>
            </w:r>
          </w:p>
        </w:tc>
        <w:tc>
          <w:tcPr>
            <w:tcW w:w="1960" w:type="dxa"/>
            <w:tcBorders>
              <w:top w:val="nil"/>
              <w:left w:val="single" w:sz="8" w:space="0" w:color="000000"/>
              <w:bottom w:val="single" w:sz="4" w:space="0" w:color="000000"/>
              <w:right w:val="single" w:sz="8" w:space="0" w:color="000000"/>
            </w:tcBorders>
            <w:shd w:val="clear" w:color="auto" w:fill="auto"/>
          </w:tcPr>
          <w:p w14:paraId="49C5B1F0" w14:textId="011364F6" w:rsidR="00582573" w:rsidRPr="00EF6836" w:rsidRDefault="00582573" w:rsidP="00EF6836">
            <w:pPr>
              <w:spacing w:after="0" w:line="240" w:lineRule="auto"/>
              <w:jc w:val="center"/>
              <w:rPr>
                <w:b/>
                <w:sz w:val="24"/>
                <w:szCs w:val="24"/>
                <w:lang w:val="bg-BG"/>
              </w:rPr>
            </w:pPr>
          </w:p>
        </w:tc>
      </w:tr>
      <w:tr w:rsidR="00582573" w:rsidRPr="00582573" w14:paraId="213232D4" w14:textId="77777777" w:rsidTr="00582573">
        <w:trPr>
          <w:trHeight w:val="330"/>
        </w:trPr>
        <w:tc>
          <w:tcPr>
            <w:tcW w:w="1833" w:type="dxa"/>
            <w:tcBorders>
              <w:top w:val="nil"/>
              <w:left w:val="single" w:sz="4" w:space="0" w:color="000000"/>
              <w:bottom w:val="single" w:sz="4" w:space="0" w:color="000000"/>
              <w:right w:val="nil"/>
            </w:tcBorders>
            <w:shd w:val="clear" w:color="auto" w:fill="FFFFFF"/>
            <w:vAlign w:val="center"/>
          </w:tcPr>
          <w:p w14:paraId="27BADAFA" w14:textId="77777777" w:rsidR="00582573" w:rsidRPr="00EF6836" w:rsidRDefault="00582573" w:rsidP="00EF6836">
            <w:pPr>
              <w:spacing w:after="0" w:line="240" w:lineRule="auto"/>
              <w:ind w:firstLine="0"/>
              <w:rPr>
                <w:sz w:val="24"/>
                <w:szCs w:val="24"/>
                <w:lang w:val="bg-BG"/>
              </w:rPr>
            </w:pPr>
            <w:r w:rsidRPr="00EF6836">
              <w:rPr>
                <w:sz w:val="24"/>
                <w:szCs w:val="24"/>
                <w:lang w:val="bg-BG"/>
              </w:rPr>
              <w:t>Колеж по туризъм</w:t>
            </w:r>
          </w:p>
        </w:tc>
        <w:tc>
          <w:tcPr>
            <w:tcW w:w="912" w:type="dxa"/>
            <w:tcBorders>
              <w:top w:val="nil"/>
              <w:left w:val="single" w:sz="4" w:space="0" w:color="000000"/>
              <w:bottom w:val="single" w:sz="4" w:space="0" w:color="000000"/>
              <w:right w:val="single" w:sz="4" w:space="0" w:color="000000"/>
            </w:tcBorders>
            <w:shd w:val="clear" w:color="auto" w:fill="auto"/>
          </w:tcPr>
          <w:p w14:paraId="466F7E9D"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0</w:t>
            </w:r>
          </w:p>
        </w:tc>
        <w:tc>
          <w:tcPr>
            <w:tcW w:w="940" w:type="dxa"/>
            <w:tcBorders>
              <w:top w:val="nil"/>
              <w:left w:val="nil"/>
              <w:bottom w:val="single" w:sz="4" w:space="0" w:color="000000"/>
              <w:right w:val="single" w:sz="4" w:space="0" w:color="000000"/>
            </w:tcBorders>
            <w:shd w:val="clear" w:color="auto" w:fill="auto"/>
          </w:tcPr>
          <w:p w14:paraId="3E59260D"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1</w:t>
            </w:r>
          </w:p>
        </w:tc>
        <w:tc>
          <w:tcPr>
            <w:tcW w:w="940" w:type="dxa"/>
            <w:tcBorders>
              <w:top w:val="nil"/>
              <w:left w:val="nil"/>
              <w:bottom w:val="single" w:sz="4" w:space="0" w:color="000000"/>
              <w:right w:val="single" w:sz="4" w:space="0" w:color="000000"/>
            </w:tcBorders>
            <w:shd w:val="clear" w:color="auto" w:fill="auto"/>
          </w:tcPr>
          <w:p w14:paraId="7D159277"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3FA0E5F4" w14:textId="77777777" w:rsidR="00582573" w:rsidRPr="00EF6836" w:rsidRDefault="00582573" w:rsidP="00EF6836">
            <w:pPr>
              <w:spacing w:after="0" w:line="240" w:lineRule="auto"/>
              <w:ind w:firstLine="0"/>
              <w:jc w:val="center"/>
              <w:rPr>
                <w:sz w:val="24"/>
                <w:szCs w:val="24"/>
                <w:lang w:val="bg-BG"/>
              </w:rPr>
            </w:pPr>
            <w:r w:rsidRPr="00EF6836">
              <w:rPr>
                <w:sz w:val="24"/>
                <w:szCs w:val="24"/>
                <w:lang w:val="bg-BG"/>
              </w:rPr>
              <w:t>2</w:t>
            </w:r>
          </w:p>
        </w:tc>
        <w:tc>
          <w:tcPr>
            <w:tcW w:w="1087" w:type="dxa"/>
            <w:tcBorders>
              <w:top w:val="nil"/>
              <w:left w:val="single" w:sz="4" w:space="0" w:color="000000"/>
              <w:bottom w:val="single" w:sz="4" w:space="0" w:color="000000"/>
              <w:right w:val="single" w:sz="4" w:space="0" w:color="000000"/>
            </w:tcBorders>
            <w:shd w:val="clear" w:color="auto" w:fill="FFFFFF"/>
          </w:tcPr>
          <w:p w14:paraId="1AA28BE6" w14:textId="77777777" w:rsidR="00582573" w:rsidRPr="00EF6836" w:rsidRDefault="00582573" w:rsidP="00EF6836">
            <w:pPr>
              <w:spacing w:after="0" w:line="240" w:lineRule="auto"/>
              <w:ind w:firstLine="0"/>
              <w:jc w:val="center"/>
              <w:rPr>
                <w:b/>
                <w:sz w:val="24"/>
                <w:szCs w:val="24"/>
                <w:lang w:val="bg-BG"/>
              </w:rPr>
            </w:pPr>
            <w:r w:rsidRPr="00EF6836">
              <w:rPr>
                <w:b/>
                <w:sz w:val="24"/>
                <w:szCs w:val="24"/>
                <w:lang w:val="bg-BG"/>
              </w:rPr>
              <w:t>17</w:t>
            </w:r>
          </w:p>
        </w:tc>
        <w:tc>
          <w:tcPr>
            <w:tcW w:w="1494" w:type="dxa"/>
            <w:tcBorders>
              <w:top w:val="nil"/>
              <w:left w:val="nil"/>
              <w:bottom w:val="single" w:sz="4" w:space="0" w:color="000000"/>
              <w:right w:val="nil"/>
            </w:tcBorders>
            <w:shd w:val="clear" w:color="auto" w:fill="auto"/>
          </w:tcPr>
          <w:p w14:paraId="68DDAA41" w14:textId="77777777" w:rsidR="00582573" w:rsidRPr="00EF6836" w:rsidRDefault="00582573" w:rsidP="00EF6836">
            <w:pPr>
              <w:spacing w:after="0" w:line="240" w:lineRule="auto"/>
              <w:jc w:val="center"/>
              <w:rPr>
                <w:sz w:val="24"/>
                <w:szCs w:val="24"/>
                <w:lang w:val="bg-BG"/>
              </w:rPr>
            </w:pPr>
            <w:r w:rsidRPr="00EF6836">
              <w:rPr>
                <w:sz w:val="24"/>
                <w:szCs w:val="24"/>
                <w:lang w:val="bg-BG"/>
              </w:rPr>
              <w:t>0,12</w:t>
            </w:r>
          </w:p>
        </w:tc>
        <w:tc>
          <w:tcPr>
            <w:tcW w:w="1960" w:type="dxa"/>
            <w:tcBorders>
              <w:top w:val="nil"/>
              <w:left w:val="single" w:sz="8" w:space="0" w:color="000000"/>
              <w:bottom w:val="single" w:sz="8" w:space="0" w:color="000000"/>
              <w:right w:val="single" w:sz="8" w:space="0" w:color="000000"/>
            </w:tcBorders>
            <w:shd w:val="clear" w:color="auto" w:fill="auto"/>
          </w:tcPr>
          <w:p w14:paraId="1AD96631" w14:textId="77777777" w:rsidR="00582573" w:rsidRPr="00EF6836" w:rsidRDefault="00582573" w:rsidP="00EF6836">
            <w:pPr>
              <w:spacing w:after="0" w:line="240" w:lineRule="auto"/>
              <w:jc w:val="center"/>
              <w:rPr>
                <w:b/>
                <w:sz w:val="24"/>
                <w:szCs w:val="24"/>
                <w:lang w:val="bg-BG"/>
              </w:rPr>
            </w:pPr>
            <w:r w:rsidRPr="00EF6836">
              <w:rPr>
                <w:b/>
                <w:sz w:val="24"/>
                <w:szCs w:val="24"/>
                <w:lang w:val="bg-BG"/>
              </w:rPr>
              <w:t>0,97%</w:t>
            </w:r>
          </w:p>
        </w:tc>
      </w:tr>
    </w:tbl>
    <w:p w14:paraId="1DD4BE5E" w14:textId="77777777" w:rsidR="00582573" w:rsidRPr="00582573" w:rsidRDefault="00582573" w:rsidP="00582573">
      <w:pPr>
        <w:ind w:firstLine="709"/>
        <w:rPr>
          <w:i/>
          <w:sz w:val="24"/>
          <w:szCs w:val="24"/>
        </w:rPr>
      </w:pPr>
      <w:proofErr w:type="spellStart"/>
      <w:r w:rsidRPr="00582573">
        <w:rPr>
          <w:i/>
          <w:sz w:val="24"/>
          <w:szCs w:val="24"/>
        </w:rPr>
        <w:t>Източник</w:t>
      </w:r>
      <w:proofErr w:type="spellEnd"/>
      <w:r w:rsidRPr="00582573">
        <w:rPr>
          <w:i/>
          <w:sz w:val="24"/>
          <w:szCs w:val="24"/>
        </w:rPr>
        <w:t xml:space="preserve">:  </w:t>
      </w:r>
      <w:proofErr w:type="spellStart"/>
      <w:r w:rsidRPr="00582573">
        <w:rPr>
          <w:i/>
          <w:sz w:val="24"/>
          <w:szCs w:val="24"/>
        </w:rPr>
        <w:t>Отчети</w:t>
      </w:r>
      <w:proofErr w:type="spellEnd"/>
      <w:r w:rsidRPr="00582573">
        <w:rPr>
          <w:i/>
          <w:sz w:val="24"/>
          <w:szCs w:val="24"/>
        </w:rPr>
        <w:t xml:space="preserve"> </w:t>
      </w:r>
      <w:proofErr w:type="spellStart"/>
      <w:r w:rsidRPr="00582573">
        <w:rPr>
          <w:i/>
          <w:sz w:val="24"/>
          <w:szCs w:val="24"/>
        </w:rPr>
        <w:t>на</w:t>
      </w:r>
      <w:proofErr w:type="spellEnd"/>
      <w:r w:rsidRPr="00582573">
        <w:rPr>
          <w:i/>
          <w:sz w:val="24"/>
          <w:szCs w:val="24"/>
        </w:rPr>
        <w:t xml:space="preserve"> </w:t>
      </w:r>
      <w:proofErr w:type="spellStart"/>
      <w:r w:rsidRPr="00582573">
        <w:rPr>
          <w:i/>
          <w:sz w:val="24"/>
          <w:szCs w:val="24"/>
        </w:rPr>
        <w:t>научноизследователската</w:t>
      </w:r>
      <w:proofErr w:type="spellEnd"/>
      <w:r w:rsidRPr="00582573">
        <w:rPr>
          <w:i/>
          <w:sz w:val="24"/>
          <w:szCs w:val="24"/>
        </w:rPr>
        <w:t xml:space="preserve"> </w:t>
      </w:r>
      <w:proofErr w:type="spellStart"/>
      <w:r w:rsidRPr="00582573">
        <w:rPr>
          <w:i/>
          <w:sz w:val="24"/>
          <w:szCs w:val="24"/>
        </w:rPr>
        <w:t>дейност</w:t>
      </w:r>
      <w:proofErr w:type="spellEnd"/>
      <w:r w:rsidRPr="00582573">
        <w:rPr>
          <w:i/>
          <w:sz w:val="24"/>
          <w:szCs w:val="24"/>
        </w:rPr>
        <w:t xml:space="preserve"> </w:t>
      </w:r>
      <w:proofErr w:type="spellStart"/>
      <w:r w:rsidRPr="00582573">
        <w:rPr>
          <w:i/>
          <w:sz w:val="24"/>
          <w:szCs w:val="24"/>
        </w:rPr>
        <w:t>на</w:t>
      </w:r>
      <w:proofErr w:type="spellEnd"/>
      <w:r w:rsidRPr="00582573">
        <w:rPr>
          <w:i/>
          <w:sz w:val="24"/>
          <w:szCs w:val="24"/>
        </w:rPr>
        <w:t xml:space="preserve"> ИУ-</w:t>
      </w:r>
      <w:proofErr w:type="spellStart"/>
      <w:r w:rsidRPr="00582573">
        <w:rPr>
          <w:i/>
          <w:sz w:val="24"/>
          <w:szCs w:val="24"/>
        </w:rPr>
        <w:t>Варна</w:t>
      </w:r>
      <w:proofErr w:type="spellEnd"/>
      <w:r w:rsidRPr="00582573">
        <w:rPr>
          <w:i/>
          <w:sz w:val="24"/>
          <w:szCs w:val="24"/>
        </w:rPr>
        <w:t xml:space="preserve"> </w:t>
      </w:r>
      <w:proofErr w:type="spellStart"/>
      <w:r w:rsidRPr="00582573">
        <w:rPr>
          <w:i/>
          <w:sz w:val="24"/>
          <w:szCs w:val="24"/>
        </w:rPr>
        <w:t>за</w:t>
      </w:r>
      <w:proofErr w:type="spellEnd"/>
      <w:r w:rsidRPr="00582573">
        <w:rPr>
          <w:i/>
          <w:sz w:val="24"/>
          <w:szCs w:val="24"/>
        </w:rPr>
        <w:t xml:space="preserve"> </w:t>
      </w:r>
      <w:proofErr w:type="spellStart"/>
      <w:r w:rsidRPr="00582573">
        <w:rPr>
          <w:i/>
          <w:sz w:val="24"/>
          <w:szCs w:val="24"/>
        </w:rPr>
        <w:t>учебните</w:t>
      </w:r>
      <w:proofErr w:type="spellEnd"/>
      <w:r w:rsidRPr="00582573">
        <w:rPr>
          <w:i/>
          <w:sz w:val="24"/>
          <w:szCs w:val="24"/>
        </w:rPr>
        <w:t xml:space="preserve"> 2018-2019, 2019/202, 2020/2021 г. </w:t>
      </w:r>
    </w:p>
    <w:p w14:paraId="0597DD57" w14:textId="77777777" w:rsidR="00582573" w:rsidRPr="00582573" w:rsidRDefault="00582573" w:rsidP="00582573">
      <w:pPr>
        <w:ind w:firstLine="709"/>
        <w:rPr>
          <w:i/>
          <w:sz w:val="24"/>
          <w:szCs w:val="24"/>
        </w:rPr>
      </w:pPr>
      <w:proofErr w:type="spellStart"/>
      <w:r w:rsidRPr="00582573">
        <w:rPr>
          <w:i/>
          <w:sz w:val="24"/>
          <w:szCs w:val="24"/>
        </w:rPr>
        <w:t>Забележка</w:t>
      </w:r>
      <w:proofErr w:type="spellEnd"/>
      <w:r w:rsidRPr="00582573">
        <w:rPr>
          <w:i/>
          <w:sz w:val="24"/>
          <w:szCs w:val="24"/>
        </w:rPr>
        <w:t xml:space="preserve">: </w:t>
      </w:r>
      <w:proofErr w:type="spellStart"/>
      <w:r w:rsidRPr="00582573">
        <w:rPr>
          <w:i/>
          <w:sz w:val="24"/>
          <w:szCs w:val="24"/>
        </w:rPr>
        <w:t>Всички</w:t>
      </w:r>
      <w:proofErr w:type="spellEnd"/>
      <w:r w:rsidRPr="00582573">
        <w:rPr>
          <w:i/>
          <w:sz w:val="24"/>
          <w:szCs w:val="24"/>
        </w:rPr>
        <w:t xml:space="preserve"> </w:t>
      </w:r>
      <w:proofErr w:type="spellStart"/>
      <w:r w:rsidRPr="00582573">
        <w:rPr>
          <w:i/>
          <w:sz w:val="24"/>
          <w:szCs w:val="24"/>
        </w:rPr>
        <w:t>публикации</w:t>
      </w:r>
      <w:proofErr w:type="spellEnd"/>
      <w:r w:rsidRPr="00582573">
        <w:rPr>
          <w:i/>
          <w:sz w:val="24"/>
          <w:szCs w:val="24"/>
        </w:rPr>
        <w:t xml:space="preserve"> </w:t>
      </w:r>
      <w:proofErr w:type="spellStart"/>
      <w:r w:rsidRPr="00582573">
        <w:rPr>
          <w:i/>
          <w:sz w:val="24"/>
          <w:szCs w:val="24"/>
        </w:rPr>
        <w:t>на</w:t>
      </w:r>
      <w:proofErr w:type="spellEnd"/>
      <w:r w:rsidRPr="00582573">
        <w:rPr>
          <w:i/>
          <w:sz w:val="24"/>
          <w:szCs w:val="24"/>
        </w:rPr>
        <w:t xml:space="preserve"> </w:t>
      </w:r>
      <w:proofErr w:type="spellStart"/>
      <w:r w:rsidRPr="00582573">
        <w:rPr>
          <w:i/>
          <w:sz w:val="24"/>
          <w:szCs w:val="24"/>
        </w:rPr>
        <w:t>съответния</w:t>
      </w:r>
      <w:proofErr w:type="spellEnd"/>
      <w:r w:rsidRPr="00582573">
        <w:rPr>
          <w:i/>
          <w:sz w:val="24"/>
          <w:szCs w:val="24"/>
        </w:rPr>
        <w:t xml:space="preserve"> </w:t>
      </w:r>
      <w:proofErr w:type="spellStart"/>
      <w:r w:rsidRPr="00582573">
        <w:rPr>
          <w:i/>
          <w:sz w:val="24"/>
          <w:szCs w:val="24"/>
        </w:rPr>
        <w:t>факултет</w:t>
      </w:r>
      <w:proofErr w:type="spellEnd"/>
      <w:r w:rsidRPr="00582573">
        <w:rPr>
          <w:i/>
          <w:sz w:val="24"/>
          <w:szCs w:val="24"/>
        </w:rPr>
        <w:t xml:space="preserve"> в Sc/</w:t>
      </w:r>
      <w:proofErr w:type="spellStart"/>
      <w:r w:rsidRPr="00582573">
        <w:rPr>
          <w:i/>
          <w:sz w:val="24"/>
          <w:szCs w:val="24"/>
        </w:rPr>
        <w:t>WofSc</w:t>
      </w:r>
      <w:proofErr w:type="spellEnd"/>
      <w:r w:rsidRPr="00582573">
        <w:rPr>
          <w:i/>
          <w:sz w:val="24"/>
          <w:szCs w:val="24"/>
        </w:rPr>
        <w:t xml:space="preserve"> </w:t>
      </w:r>
      <w:proofErr w:type="spellStart"/>
      <w:r w:rsidRPr="00582573">
        <w:rPr>
          <w:i/>
          <w:sz w:val="24"/>
          <w:szCs w:val="24"/>
        </w:rPr>
        <w:t>за</w:t>
      </w:r>
      <w:proofErr w:type="spellEnd"/>
      <w:r w:rsidRPr="00582573">
        <w:rPr>
          <w:i/>
          <w:sz w:val="24"/>
          <w:szCs w:val="24"/>
        </w:rPr>
        <w:t xml:space="preserve"> </w:t>
      </w:r>
      <w:proofErr w:type="spellStart"/>
      <w:r w:rsidRPr="00582573">
        <w:rPr>
          <w:i/>
          <w:sz w:val="24"/>
          <w:szCs w:val="24"/>
        </w:rPr>
        <w:t>трите</w:t>
      </w:r>
      <w:proofErr w:type="spellEnd"/>
      <w:r w:rsidRPr="00582573">
        <w:rPr>
          <w:i/>
          <w:sz w:val="24"/>
          <w:szCs w:val="24"/>
        </w:rPr>
        <w:t xml:space="preserve"> </w:t>
      </w:r>
      <w:proofErr w:type="spellStart"/>
      <w:r w:rsidRPr="00582573">
        <w:rPr>
          <w:i/>
          <w:sz w:val="24"/>
          <w:szCs w:val="24"/>
        </w:rPr>
        <w:t>години</w:t>
      </w:r>
      <w:proofErr w:type="spellEnd"/>
      <w:r w:rsidRPr="00582573">
        <w:rPr>
          <w:i/>
          <w:sz w:val="24"/>
          <w:szCs w:val="24"/>
        </w:rPr>
        <w:t xml:space="preserve">, </w:t>
      </w:r>
      <w:proofErr w:type="spellStart"/>
      <w:r w:rsidRPr="00582573">
        <w:rPr>
          <w:i/>
          <w:sz w:val="24"/>
          <w:szCs w:val="24"/>
        </w:rPr>
        <w:t>отнесени</w:t>
      </w:r>
      <w:proofErr w:type="spellEnd"/>
      <w:r w:rsidRPr="00582573">
        <w:rPr>
          <w:i/>
          <w:sz w:val="24"/>
          <w:szCs w:val="24"/>
        </w:rPr>
        <w:t xml:space="preserve"> </w:t>
      </w:r>
      <w:proofErr w:type="spellStart"/>
      <w:r w:rsidRPr="00582573">
        <w:rPr>
          <w:i/>
          <w:sz w:val="24"/>
          <w:szCs w:val="24"/>
        </w:rPr>
        <w:t>към</w:t>
      </w:r>
      <w:proofErr w:type="spellEnd"/>
      <w:r w:rsidRPr="00582573">
        <w:rPr>
          <w:i/>
          <w:sz w:val="24"/>
          <w:szCs w:val="24"/>
        </w:rPr>
        <w:t xml:space="preserve"> </w:t>
      </w:r>
      <w:proofErr w:type="spellStart"/>
      <w:r w:rsidRPr="00582573">
        <w:rPr>
          <w:i/>
          <w:sz w:val="24"/>
          <w:szCs w:val="24"/>
        </w:rPr>
        <w:t>общия</w:t>
      </w:r>
      <w:proofErr w:type="spellEnd"/>
      <w:r w:rsidRPr="00582573">
        <w:rPr>
          <w:i/>
          <w:sz w:val="24"/>
          <w:szCs w:val="24"/>
        </w:rPr>
        <w:t xml:space="preserve"> </w:t>
      </w:r>
      <w:proofErr w:type="spellStart"/>
      <w:r w:rsidRPr="00582573">
        <w:rPr>
          <w:i/>
          <w:sz w:val="24"/>
          <w:szCs w:val="24"/>
        </w:rPr>
        <w:t>брой</w:t>
      </w:r>
      <w:proofErr w:type="spellEnd"/>
      <w:r w:rsidRPr="00582573">
        <w:rPr>
          <w:i/>
          <w:sz w:val="24"/>
          <w:szCs w:val="24"/>
        </w:rPr>
        <w:t xml:space="preserve"> </w:t>
      </w:r>
      <w:proofErr w:type="spellStart"/>
      <w:r w:rsidRPr="00582573">
        <w:rPr>
          <w:i/>
          <w:sz w:val="24"/>
          <w:szCs w:val="24"/>
        </w:rPr>
        <w:t>публикации</w:t>
      </w:r>
      <w:proofErr w:type="spellEnd"/>
      <w:r w:rsidRPr="00582573">
        <w:rPr>
          <w:i/>
          <w:sz w:val="24"/>
          <w:szCs w:val="24"/>
        </w:rPr>
        <w:t xml:space="preserve"> </w:t>
      </w:r>
      <w:proofErr w:type="spellStart"/>
      <w:r w:rsidRPr="00582573">
        <w:rPr>
          <w:i/>
          <w:sz w:val="24"/>
          <w:szCs w:val="24"/>
        </w:rPr>
        <w:t>на</w:t>
      </w:r>
      <w:proofErr w:type="spellEnd"/>
      <w:r w:rsidRPr="00582573">
        <w:rPr>
          <w:i/>
          <w:sz w:val="24"/>
          <w:szCs w:val="24"/>
        </w:rPr>
        <w:t xml:space="preserve"> </w:t>
      </w:r>
      <w:proofErr w:type="spellStart"/>
      <w:r w:rsidRPr="00582573">
        <w:rPr>
          <w:i/>
          <w:sz w:val="24"/>
          <w:szCs w:val="24"/>
        </w:rPr>
        <w:t>всички</w:t>
      </w:r>
      <w:proofErr w:type="spellEnd"/>
      <w:r w:rsidRPr="00582573">
        <w:rPr>
          <w:i/>
          <w:sz w:val="24"/>
          <w:szCs w:val="24"/>
        </w:rPr>
        <w:t xml:space="preserve"> </w:t>
      </w:r>
      <w:proofErr w:type="spellStart"/>
      <w:r w:rsidRPr="00582573">
        <w:rPr>
          <w:i/>
          <w:sz w:val="24"/>
          <w:szCs w:val="24"/>
        </w:rPr>
        <w:t>звена</w:t>
      </w:r>
      <w:proofErr w:type="spellEnd"/>
      <w:r w:rsidRPr="00582573">
        <w:rPr>
          <w:i/>
          <w:sz w:val="24"/>
          <w:szCs w:val="24"/>
        </w:rPr>
        <w:t xml:space="preserve">, </w:t>
      </w:r>
      <w:proofErr w:type="spellStart"/>
      <w:r w:rsidRPr="00582573">
        <w:rPr>
          <w:i/>
          <w:sz w:val="24"/>
          <w:szCs w:val="24"/>
        </w:rPr>
        <w:t>изразени</w:t>
      </w:r>
      <w:proofErr w:type="spellEnd"/>
      <w:r w:rsidRPr="00582573">
        <w:rPr>
          <w:i/>
          <w:sz w:val="24"/>
          <w:szCs w:val="24"/>
        </w:rPr>
        <w:t xml:space="preserve"> в </w:t>
      </w:r>
      <w:proofErr w:type="spellStart"/>
      <w:r w:rsidRPr="00582573">
        <w:rPr>
          <w:i/>
          <w:sz w:val="24"/>
          <w:szCs w:val="24"/>
        </w:rPr>
        <w:t>проценти</w:t>
      </w:r>
      <w:proofErr w:type="spellEnd"/>
      <w:r w:rsidRPr="00582573">
        <w:rPr>
          <w:i/>
          <w:sz w:val="24"/>
          <w:szCs w:val="24"/>
        </w:rPr>
        <w:t>.</w:t>
      </w:r>
    </w:p>
    <w:p w14:paraId="2E130722" w14:textId="77777777" w:rsidR="00582573" w:rsidRDefault="00582573" w:rsidP="00582573">
      <w:pPr>
        <w:ind w:firstLine="709"/>
        <w:rPr>
          <w:i/>
          <w:sz w:val="24"/>
          <w:szCs w:val="24"/>
        </w:rPr>
      </w:pPr>
    </w:p>
    <w:p w14:paraId="2B05637E" w14:textId="77777777" w:rsidR="00582573" w:rsidRDefault="00582573" w:rsidP="00582573">
      <w:pPr>
        <w:ind w:firstLine="709"/>
        <w:rPr>
          <w:i/>
          <w:sz w:val="24"/>
          <w:szCs w:val="24"/>
        </w:rPr>
      </w:pPr>
    </w:p>
    <w:p w14:paraId="5783DCEE" w14:textId="77777777" w:rsidR="00582573" w:rsidRPr="00FB1603" w:rsidRDefault="00582573" w:rsidP="00FB1603">
      <w:pPr>
        <w:spacing w:after="0" w:line="240" w:lineRule="auto"/>
        <w:ind w:right="0" w:firstLine="567"/>
        <w:rPr>
          <w:sz w:val="24"/>
          <w:szCs w:val="24"/>
          <w:lang w:val="bg-BG"/>
        </w:rPr>
      </w:pPr>
    </w:p>
    <w:sectPr w:rsidR="00582573" w:rsidRPr="00FB1603" w:rsidSect="00280B31">
      <w:headerReference w:type="even" r:id="rId8"/>
      <w:headerReference w:type="default" r:id="rId9"/>
      <w:footerReference w:type="default" r:id="rId10"/>
      <w:headerReference w:type="first" r:id="rId11"/>
      <w:pgSz w:w="11900" w:h="16840"/>
      <w:pgMar w:top="1019" w:right="985" w:bottom="1231"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02058" w14:textId="77777777" w:rsidR="00F143AC" w:rsidRDefault="00F143AC">
      <w:pPr>
        <w:spacing w:after="0" w:line="240" w:lineRule="auto"/>
      </w:pPr>
      <w:r>
        <w:separator/>
      </w:r>
    </w:p>
  </w:endnote>
  <w:endnote w:type="continuationSeparator" w:id="0">
    <w:p w14:paraId="52DB95FE" w14:textId="77777777" w:rsidR="00F143AC" w:rsidRDefault="00F1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422475"/>
      <w:docPartObj>
        <w:docPartGallery w:val="Page Numbers (Bottom of Page)"/>
        <w:docPartUnique/>
      </w:docPartObj>
    </w:sdtPr>
    <w:sdtEndPr>
      <w:rPr>
        <w:noProof/>
      </w:rPr>
    </w:sdtEndPr>
    <w:sdtContent>
      <w:p w14:paraId="0A3155F6" w14:textId="2DC124B3" w:rsidR="00DC2308" w:rsidRDefault="00DC2308">
        <w:pPr>
          <w:pStyle w:val="Footer"/>
          <w:jc w:val="right"/>
        </w:pPr>
        <w:r>
          <w:fldChar w:fldCharType="begin"/>
        </w:r>
        <w:r>
          <w:instrText xml:space="preserve"> PAGE   \* MERGEFORMAT </w:instrText>
        </w:r>
        <w:r>
          <w:fldChar w:fldCharType="separate"/>
        </w:r>
        <w:r w:rsidR="00614559">
          <w:rPr>
            <w:noProof/>
          </w:rPr>
          <w:t>2</w:t>
        </w:r>
        <w:r>
          <w:rPr>
            <w:noProof/>
          </w:rPr>
          <w:fldChar w:fldCharType="end"/>
        </w:r>
      </w:p>
    </w:sdtContent>
  </w:sdt>
  <w:p w14:paraId="1F87A22F" w14:textId="77777777" w:rsidR="008078A0" w:rsidRDefault="0080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B962" w14:textId="77777777" w:rsidR="00F143AC" w:rsidRDefault="00F143AC">
      <w:pPr>
        <w:spacing w:after="0" w:line="240" w:lineRule="auto"/>
      </w:pPr>
      <w:r>
        <w:separator/>
      </w:r>
    </w:p>
  </w:footnote>
  <w:footnote w:type="continuationSeparator" w:id="0">
    <w:p w14:paraId="33E45B03" w14:textId="77777777" w:rsidR="00F143AC" w:rsidRDefault="00F14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699" w:tblpY="717"/>
      <w:tblOverlap w:val="never"/>
      <w:tblW w:w="9782" w:type="dxa"/>
      <w:tblInd w:w="0" w:type="dxa"/>
      <w:tblCellMar>
        <w:top w:w="52" w:type="dxa"/>
        <w:left w:w="144" w:type="dxa"/>
        <w:right w:w="84" w:type="dxa"/>
      </w:tblCellMar>
      <w:tblLook w:val="04A0" w:firstRow="1" w:lastRow="0" w:firstColumn="1" w:lastColumn="0" w:noHBand="0" w:noVBand="1"/>
    </w:tblPr>
    <w:tblGrid>
      <w:gridCol w:w="5951"/>
      <w:gridCol w:w="1421"/>
      <w:gridCol w:w="1133"/>
      <w:gridCol w:w="1277"/>
    </w:tblGrid>
    <w:tr w:rsidR="00927DBE" w14:paraId="73E9C5D4" w14:textId="77777777">
      <w:trPr>
        <w:trHeight w:val="470"/>
      </w:trPr>
      <w:tc>
        <w:tcPr>
          <w:tcW w:w="5952" w:type="dxa"/>
          <w:tcBorders>
            <w:top w:val="single" w:sz="4" w:space="0" w:color="000000"/>
            <w:left w:val="single" w:sz="4" w:space="0" w:color="000000"/>
            <w:bottom w:val="single" w:sz="4" w:space="0" w:color="000000"/>
            <w:right w:val="single" w:sz="4" w:space="0" w:color="000000"/>
          </w:tcBorders>
        </w:tcPr>
        <w:p w14:paraId="0D4E43CC" w14:textId="77777777" w:rsidR="00927DBE" w:rsidRPr="00F85363" w:rsidRDefault="00756522">
          <w:pPr>
            <w:spacing w:after="0" w:line="259" w:lineRule="auto"/>
            <w:ind w:right="0" w:firstLine="0"/>
            <w:rPr>
              <w:lang w:val="ru-RU"/>
            </w:rPr>
          </w:pPr>
          <w:r w:rsidRPr="00F85363">
            <w:rPr>
              <w:sz w:val="20"/>
              <w:lang w:val="ru-RU"/>
            </w:rPr>
            <w:t xml:space="preserve">РИ 01.07.52 </w:t>
          </w:r>
          <w:proofErr w:type="spellStart"/>
          <w:r w:rsidRPr="00F85363">
            <w:rPr>
              <w:sz w:val="20"/>
              <w:lang w:val="ru-RU"/>
            </w:rPr>
            <w:t>Правилник</w:t>
          </w:r>
          <w:proofErr w:type="spellEnd"/>
          <w:r w:rsidRPr="00F85363">
            <w:rPr>
              <w:sz w:val="20"/>
              <w:lang w:val="ru-RU"/>
            </w:rPr>
            <w:t xml:space="preserve"> за </w:t>
          </w:r>
          <w:proofErr w:type="spellStart"/>
          <w:r w:rsidRPr="00F85363">
            <w:rPr>
              <w:sz w:val="20"/>
              <w:lang w:val="ru-RU"/>
            </w:rPr>
            <w:t>вътрешния</w:t>
          </w:r>
          <w:proofErr w:type="spellEnd"/>
          <w:r w:rsidRPr="00F85363">
            <w:rPr>
              <w:sz w:val="20"/>
              <w:lang w:val="ru-RU"/>
            </w:rPr>
            <w:t xml:space="preserve"> </w:t>
          </w:r>
          <w:proofErr w:type="spellStart"/>
          <w:r w:rsidRPr="00F85363">
            <w:rPr>
              <w:sz w:val="20"/>
              <w:lang w:val="ru-RU"/>
            </w:rPr>
            <w:t>ред</w:t>
          </w:r>
          <w:proofErr w:type="spellEnd"/>
          <w:r w:rsidRPr="00F85363">
            <w:rPr>
              <w:sz w:val="20"/>
              <w:lang w:val="ru-RU"/>
            </w:rPr>
            <w:t xml:space="preserve"> в Учебно-спортен комплекс на ВВМУ „Н. Й. Вапцаров“ </w:t>
          </w:r>
        </w:p>
      </w:tc>
      <w:tc>
        <w:tcPr>
          <w:tcW w:w="1421" w:type="dxa"/>
          <w:tcBorders>
            <w:top w:val="single" w:sz="4" w:space="0" w:color="000000"/>
            <w:left w:val="single" w:sz="4" w:space="0" w:color="000000"/>
            <w:bottom w:val="single" w:sz="4" w:space="0" w:color="000000"/>
            <w:right w:val="single" w:sz="4" w:space="0" w:color="000000"/>
          </w:tcBorders>
          <w:vAlign w:val="center"/>
        </w:tcPr>
        <w:p w14:paraId="0E8B8F07" w14:textId="77777777" w:rsidR="00927DBE" w:rsidRDefault="00756522">
          <w:pPr>
            <w:spacing w:after="0" w:line="259" w:lineRule="auto"/>
            <w:ind w:right="166" w:firstLine="0"/>
            <w:jc w:val="center"/>
          </w:pPr>
          <w:proofErr w:type="spellStart"/>
          <w:r>
            <w:rPr>
              <w:sz w:val="20"/>
            </w:rPr>
            <w:t>Стр</w:t>
          </w:r>
          <w:proofErr w:type="spellEnd"/>
          <w:r>
            <w:rPr>
              <w:sz w:val="20"/>
            </w:rPr>
            <w:t xml:space="preserve">. </w:t>
          </w:r>
          <w:r>
            <w:fldChar w:fldCharType="begin"/>
          </w:r>
          <w:r>
            <w:instrText xml:space="preserve"> PAGE   \* MERGEFORMAT </w:instrText>
          </w:r>
          <w:r>
            <w:fldChar w:fldCharType="separate"/>
          </w:r>
          <w:r>
            <w:rPr>
              <w:b/>
              <w:sz w:val="20"/>
            </w:rPr>
            <w:t>2</w:t>
          </w:r>
          <w:r>
            <w:rPr>
              <w:b/>
              <w:sz w:val="20"/>
            </w:rPr>
            <w:fldChar w:fldCharType="end"/>
          </w:r>
          <w:r>
            <w:rPr>
              <w:sz w:val="20"/>
            </w:rPr>
            <w:t xml:space="preserve"> </w:t>
          </w:r>
          <w:proofErr w:type="spellStart"/>
          <w:r>
            <w:rPr>
              <w:sz w:val="20"/>
            </w:rPr>
            <w:t>от</w:t>
          </w:r>
          <w:proofErr w:type="spellEnd"/>
          <w:r>
            <w:rPr>
              <w:sz w:val="20"/>
            </w:rPr>
            <w:t xml:space="preserve"> </w:t>
          </w:r>
          <w:r w:rsidR="00F143AC">
            <w:fldChar w:fldCharType="begin"/>
          </w:r>
          <w:r w:rsidR="00F143AC">
            <w:instrText xml:space="preserve"> NUMPAGES   \* MERGEFORMAT </w:instrText>
          </w:r>
          <w:r w:rsidR="00F143AC">
            <w:fldChar w:fldCharType="separate"/>
          </w:r>
          <w:r>
            <w:rPr>
              <w:b/>
              <w:sz w:val="20"/>
            </w:rPr>
            <w:t>4</w:t>
          </w:r>
          <w:r w:rsidR="00F143AC">
            <w:rPr>
              <w:b/>
              <w:sz w:val="20"/>
            </w:rPr>
            <w:fldChar w:fldCharType="end"/>
          </w: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AFAAF93" w14:textId="77777777" w:rsidR="00927DBE" w:rsidRDefault="00756522">
          <w:pPr>
            <w:spacing w:after="0" w:line="259" w:lineRule="auto"/>
            <w:ind w:right="0" w:firstLine="0"/>
            <w:jc w:val="center"/>
          </w:pPr>
          <w:proofErr w:type="spellStart"/>
          <w:r>
            <w:rPr>
              <w:sz w:val="20"/>
            </w:rPr>
            <w:t>Редакция</w:t>
          </w:r>
          <w:proofErr w:type="spellEnd"/>
          <w:r>
            <w:rPr>
              <w:sz w:val="20"/>
            </w:rPr>
            <w:t xml:space="preserve"> </w:t>
          </w:r>
          <w:proofErr w:type="spellStart"/>
          <w:r>
            <w:rPr>
              <w:sz w:val="20"/>
            </w:rPr>
            <w:t>първа</w:t>
          </w:r>
          <w:proofErr w:type="spellEnd"/>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1E2E5E71" w14:textId="77777777" w:rsidR="00927DBE" w:rsidRDefault="00756522">
          <w:pPr>
            <w:spacing w:after="0" w:line="259" w:lineRule="auto"/>
            <w:ind w:right="46" w:firstLine="0"/>
            <w:jc w:val="right"/>
          </w:pPr>
          <w:r>
            <w:rPr>
              <w:sz w:val="20"/>
            </w:rPr>
            <w:t xml:space="preserve">30.01.2020 </w:t>
          </w:r>
        </w:p>
      </w:tc>
    </w:tr>
  </w:tbl>
  <w:p w14:paraId="6A57395E" w14:textId="77777777" w:rsidR="00927DBE" w:rsidRDefault="00756522">
    <w:pPr>
      <w:spacing w:after="0" w:line="259" w:lineRule="auto"/>
      <w:ind w:righ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F911" w14:textId="77777777" w:rsidR="00927DBE" w:rsidRDefault="00756522">
    <w:pPr>
      <w:spacing w:after="0" w:line="259" w:lineRule="auto"/>
      <w:ind w:righ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5" w:type="dxa"/>
      <w:jc w:val="center"/>
      <w:tblLook w:val="04A0" w:firstRow="1" w:lastRow="0" w:firstColumn="1" w:lastColumn="0" w:noHBand="0" w:noVBand="1"/>
    </w:tblPr>
    <w:tblGrid>
      <w:gridCol w:w="1676"/>
      <w:gridCol w:w="8119"/>
    </w:tblGrid>
    <w:tr w:rsidR="00280B31" w:rsidRPr="00280B31" w14:paraId="07672E50" w14:textId="77777777" w:rsidTr="00514260">
      <w:trPr>
        <w:jc w:val="center"/>
      </w:trPr>
      <w:tc>
        <w:tcPr>
          <w:tcW w:w="1668" w:type="dxa"/>
          <w:vMerge w:val="restart"/>
        </w:tcPr>
        <w:p w14:paraId="0190CEAD" w14:textId="77777777" w:rsidR="00280B31" w:rsidRPr="00280B31" w:rsidRDefault="00280B31" w:rsidP="00280B31">
          <w:pPr>
            <w:tabs>
              <w:tab w:val="center" w:pos="4536"/>
              <w:tab w:val="right" w:pos="9072"/>
            </w:tabs>
            <w:spacing w:before="40" w:after="40" w:line="276" w:lineRule="auto"/>
            <w:ind w:right="0" w:firstLine="0"/>
            <w:jc w:val="left"/>
            <w:rPr>
              <w:rFonts w:eastAsia="Calibri"/>
              <w:i/>
              <w:color w:val="auto"/>
              <w:szCs w:val="28"/>
              <w:lang w:val="bg-BG"/>
            </w:rPr>
          </w:pPr>
          <w:r w:rsidRPr="00280B31">
            <w:rPr>
              <w:rFonts w:eastAsia="Calibri" w:cs="Arial"/>
              <w:i/>
              <w:noProof/>
              <w:color w:val="auto"/>
              <w:szCs w:val="28"/>
              <w:lang w:val="bg-BG" w:eastAsia="bg-BG"/>
            </w:rPr>
            <w:drawing>
              <wp:inline distT="0" distB="0" distL="0" distR="0" wp14:anchorId="63BA5D47" wp14:editId="7F9960B4">
                <wp:extent cx="819150" cy="8191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8079" w:type="dxa"/>
          <w:vAlign w:val="center"/>
        </w:tcPr>
        <w:p w14:paraId="2B556DEF" w14:textId="77777777" w:rsidR="00280B31" w:rsidRPr="00280B31" w:rsidRDefault="00280B31" w:rsidP="00280B31">
          <w:pPr>
            <w:tabs>
              <w:tab w:val="center" w:pos="4536"/>
              <w:tab w:val="right" w:pos="9072"/>
            </w:tabs>
            <w:spacing w:before="40" w:after="40" w:line="276" w:lineRule="auto"/>
            <w:ind w:right="0" w:firstLine="0"/>
            <w:jc w:val="center"/>
            <w:rPr>
              <w:rFonts w:eastAsia="Calibri"/>
              <w:i/>
              <w:color w:val="auto"/>
              <w:spacing w:val="8"/>
              <w:szCs w:val="28"/>
              <w:lang w:val="bg-BG"/>
            </w:rPr>
          </w:pPr>
          <w:r w:rsidRPr="00280B31">
            <w:rPr>
              <w:rFonts w:eastAsia="Calibri"/>
              <w:b/>
              <w:i/>
              <w:color w:val="auto"/>
              <w:spacing w:val="8"/>
              <w:sz w:val="36"/>
              <w:szCs w:val="36"/>
              <w:lang w:val="bg-BG"/>
            </w:rPr>
            <w:t>ИКОНОМИЧЕСКИ УНИВЕРСИТЕТ - ВАРНА</w:t>
          </w:r>
        </w:p>
      </w:tc>
    </w:tr>
    <w:tr w:rsidR="00280B31" w:rsidRPr="00280B31" w14:paraId="586F9259" w14:textId="77777777" w:rsidTr="00514260">
      <w:trPr>
        <w:jc w:val="center"/>
      </w:trPr>
      <w:tc>
        <w:tcPr>
          <w:tcW w:w="1668" w:type="dxa"/>
          <w:vMerge/>
        </w:tcPr>
        <w:p w14:paraId="1C6872CB" w14:textId="77777777" w:rsidR="00280B31" w:rsidRPr="00280B31" w:rsidRDefault="00280B31" w:rsidP="00280B31">
          <w:pPr>
            <w:tabs>
              <w:tab w:val="center" w:pos="4536"/>
              <w:tab w:val="right" w:pos="9072"/>
            </w:tabs>
            <w:spacing w:before="40" w:after="40" w:line="276" w:lineRule="auto"/>
            <w:ind w:right="0" w:firstLine="0"/>
            <w:jc w:val="left"/>
            <w:rPr>
              <w:rFonts w:eastAsia="Calibri"/>
              <w:i/>
              <w:noProof/>
              <w:color w:val="auto"/>
              <w:szCs w:val="28"/>
              <w:lang w:val="bg-BG" w:eastAsia="bg-BG"/>
            </w:rPr>
          </w:pPr>
        </w:p>
      </w:tc>
      <w:tc>
        <w:tcPr>
          <w:tcW w:w="8079" w:type="dxa"/>
          <w:tcBorders>
            <w:bottom w:val="single" w:sz="6" w:space="0" w:color="auto"/>
          </w:tcBorders>
          <w:vAlign w:val="center"/>
        </w:tcPr>
        <w:p w14:paraId="6E0888A8" w14:textId="77777777" w:rsidR="00280B31" w:rsidRPr="00280B31" w:rsidRDefault="00280B31" w:rsidP="00280B31">
          <w:pPr>
            <w:tabs>
              <w:tab w:val="center" w:pos="4536"/>
              <w:tab w:val="right" w:pos="9072"/>
            </w:tabs>
            <w:spacing w:before="40" w:after="40" w:line="276" w:lineRule="auto"/>
            <w:ind w:left="425" w:right="0" w:hanging="425"/>
            <w:jc w:val="center"/>
            <w:rPr>
              <w:rFonts w:eastAsia="Calibri"/>
              <w:b/>
              <w:i/>
              <w:color w:val="auto"/>
              <w:spacing w:val="10"/>
              <w:sz w:val="32"/>
              <w:szCs w:val="28"/>
            </w:rPr>
          </w:pPr>
          <w:r w:rsidRPr="00280B31">
            <w:rPr>
              <w:rFonts w:eastAsia="Calibri"/>
              <w:i/>
              <w:caps/>
              <w:color w:val="auto"/>
              <w:spacing w:val="8"/>
              <w:sz w:val="18"/>
              <w:szCs w:val="18"/>
              <w:lang w:val="bg-BG"/>
            </w:rPr>
            <w:t xml:space="preserve">Сертифицирана система за управление на качеството </w:t>
          </w:r>
          <w:r w:rsidRPr="00280B31">
            <w:rPr>
              <w:rFonts w:eastAsia="Calibri"/>
              <w:i/>
              <w:caps/>
              <w:color w:val="auto"/>
              <w:spacing w:val="8"/>
              <w:sz w:val="18"/>
              <w:szCs w:val="18"/>
            </w:rPr>
            <w:t>ISO</w:t>
          </w:r>
          <w:r w:rsidRPr="00280B31">
            <w:rPr>
              <w:rFonts w:eastAsia="Calibri"/>
              <w:i/>
              <w:caps/>
              <w:color w:val="auto"/>
              <w:spacing w:val="8"/>
              <w:sz w:val="18"/>
              <w:szCs w:val="18"/>
              <w:lang w:val="bg-BG"/>
            </w:rPr>
            <w:t xml:space="preserve"> 9001:20</w:t>
          </w:r>
          <w:r w:rsidRPr="00280B31">
            <w:rPr>
              <w:rFonts w:eastAsia="Calibri"/>
              <w:i/>
              <w:caps/>
              <w:color w:val="auto"/>
              <w:spacing w:val="8"/>
              <w:sz w:val="18"/>
              <w:szCs w:val="18"/>
            </w:rPr>
            <w:t>15</w:t>
          </w:r>
        </w:p>
      </w:tc>
    </w:tr>
    <w:tr w:rsidR="00280B31" w:rsidRPr="00280B31" w14:paraId="73D594CC" w14:textId="77777777" w:rsidTr="00514260">
      <w:trPr>
        <w:jc w:val="center"/>
      </w:trPr>
      <w:tc>
        <w:tcPr>
          <w:tcW w:w="1668" w:type="dxa"/>
          <w:vMerge/>
        </w:tcPr>
        <w:p w14:paraId="4B4E458F" w14:textId="77777777" w:rsidR="00280B31" w:rsidRPr="00280B31" w:rsidRDefault="00280B31" w:rsidP="00280B31">
          <w:pPr>
            <w:tabs>
              <w:tab w:val="center" w:pos="4536"/>
              <w:tab w:val="right" w:pos="9072"/>
            </w:tabs>
            <w:spacing w:before="40" w:after="40" w:line="276" w:lineRule="auto"/>
            <w:ind w:right="0" w:firstLine="0"/>
            <w:jc w:val="left"/>
            <w:rPr>
              <w:rFonts w:eastAsia="Calibri"/>
              <w:i/>
              <w:color w:val="auto"/>
              <w:szCs w:val="28"/>
              <w:lang w:val="bg-BG"/>
            </w:rPr>
          </w:pPr>
        </w:p>
      </w:tc>
      <w:tc>
        <w:tcPr>
          <w:tcW w:w="8079" w:type="dxa"/>
          <w:tcBorders>
            <w:top w:val="single" w:sz="6" w:space="0" w:color="auto"/>
          </w:tcBorders>
          <w:vAlign w:val="center"/>
        </w:tcPr>
        <w:p w14:paraId="14CF6800" w14:textId="77777777" w:rsidR="00280B31" w:rsidRPr="00280B31" w:rsidRDefault="00280B31" w:rsidP="00280B31">
          <w:pPr>
            <w:tabs>
              <w:tab w:val="left" w:pos="2694"/>
              <w:tab w:val="left" w:pos="3686"/>
              <w:tab w:val="left" w:pos="3969"/>
              <w:tab w:val="left" w:pos="6804"/>
              <w:tab w:val="left" w:pos="6946"/>
              <w:tab w:val="left" w:pos="7088"/>
              <w:tab w:val="left" w:pos="8505"/>
            </w:tabs>
            <w:spacing w:before="40" w:after="40" w:line="276" w:lineRule="auto"/>
            <w:ind w:right="0" w:firstLine="0"/>
            <w:jc w:val="center"/>
            <w:rPr>
              <w:rFonts w:eastAsia="Calibri"/>
              <w:i/>
              <w:color w:val="auto"/>
              <w:sz w:val="18"/>
              <w:szCs w:val="18"/>
              <w:lang w:val="bg-BG"/>
            </w:rPr>
          </w:pPr>
          <w:r w:rsidRPr="00280B31">
            <w:rPr>
              <w:rFonts w:eastAsia="Calibri"/>
              <w:i/>
              <w:color w:val="auto"/>
              <w:sz w:val="18"/>
              <w:szCs w:val="18"/>
              <w:lang w:val="bg-BG"/>
            </w:rPr>
            <w:t xml:space="preserve">9002 Варна </w:t>
          </w:r>
          <w:r w:rsidRPr="00280B31">
            <w:rPr>
              <w:rFonts w:eastAsia="Calibri"/>
              <w:i/>
              <w:color w:val="auto"/>
              <w:sz w:val="18"/>
              <w:szCs w:val="18"/>
              <w:lang w:val="bg-BG"/>
            </w:rPr>
            <w:sym w:font="Symbol" w:char="00B7"/>
          </w:r>
          <w:r w:rsidRPr="00280B31">
            <w:rPr>
              <w:rFonts w:eastAsia="Calibri"/>
              <w:i/>
              <w:color w:val="auto"/>
              <w:sz w:val="18"/>
              <w:szCs w:val="18"/>
              <w:lang w:val="bg-BG"/>
            </w:rPr>
            <w:t xml:space="preserve"> бул. ”Княз Борис I” 77 </w:t>
          </w:r>
          <w:r w:rsidRPr="00280B31">
            <w:rPr>
              <w:rFonts w:eastAsia="Calibri"/>
              <w:i/>
              <w:color w:val="auto"/>
              <w:sz w:val="18"/>
              <w:szCs w:val="18"/>
              <w:lang w:val="bg-BG"/>
            </w:rPr>
            <w:sym w:font="Symbol" w:char="00B7"/>
          </w:r>
          <w:r w:rsidRPr="00280B31">
            <w:rPr>
              <w:rFonts w:eastAsia="Calibri"/>
              <w:i/>
              <w:color w:val="auto"/>
              <w:sz w:val="18"/>
              <w:szCs w:val="18"/>
              <w:lang w:val="bg-BG"/>
            </w:rPr>
            <w:t xml:space="preserve"> Телефон 052 643 360 </w:t>
          </w:r>
          <w:r w:rsidRPr="00280B31">
            <w:rPr>
              <w:rFonts w:eastAsia="Calibri"/>
              <w:i/>
              <w:color w:val="auto"/>
              <w:sz w:val="18"/>
              <w:szCs w:val="18"/>
              <w:lang w:val="bg-BG"/>
            </w:rPr>
            <w:sym w:font="Symbol" w:char="00B7"/>
          </w:r>
          <w:r w:rsidRPr="00280B31">
            <w:rPr>
              <w:rFonts w:eastAsia="Calibri"/>
              <w:i/>
              <w:color w:val="auto"/>
              <w:sz w:val="18"/>
              <w:szCs w:val="18"/>
              <w:lang w:val="bg-BG"/>
            </w:rPr>
            <w:t xml:space="preserve"> Телефакс 052 643 365 </w:t>
          </w:r>
          <w:r w:rsidRPr="00280B31">
            <w:rPr>
              <w:rFonts w:eastAsia="Calibri"/>
              <w:i/>
              <w:color w:val="auto"/>
              <w:sz w:val="18"/>
              <w:szCs w:val="18"/>
              <w:lang w:val="bg-BG"/>
            </w:rPr>
            <w:sym w:font="Symbol" w:char="00B7"/>
          </w:r>
          <w:r w:rsidRPr="00280B31">
            <w:rPr>
              <w:rFonts w:eastAsia="Calibri"/>
              <w:i/>
              <w:color w:val="auto"/>
              <w:sz w:val="18"/>
              <w:szCs w:val="18"/>
              <w:lang w:val="bg-BG"/>
            </w:rPr>
            <w:t xml:space="preserve"> www.ue-varna.bg</w:t>
          </w:r>
        </w:p>
      </w:tc>
    </w:tr>
  </w:tbl>
  <w:p w14:paraId="6C14CA5C" w14:textId="77777777" w:rsidR="00927DBE" w:rsidRDefault="00927DB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3FBB"/>
    <w:multiLevelType w:val="hybridMultilevel"/>
    <w:tmpl w:val="30C8B3FA"/>
    <w:lvl w:ilvl="0" w:tplc="0409000F">
      <w:start w:val="1"/>
      <w:numFmt w:val="decimal"/>
      <w:lvlText w:val="%1."/>
      <w:lvlJc w:val="left"/>
      <w:pPr>
        <w:ind w:left="1440" w:hanging="360"/>
      </w:pPr>
    </w:lvl>
    <w:lvl w:ilvl="1" w:tplc="0402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84674"/>
    <w:multiLevelType w:val="hybridMultilevel"/>
    <w:tmpl w:val="0DE67D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F043A4"/>
    <w:multiLevelType w:val="hybridMultilevel"/>
    <w:tmpl w:val="A7FC03E4"/>
    <w:lvl w:ilvl="0" w:tplc="FFFFFFFF">
      <w:start w:val="1"/>
      <w:numFmt w:val="upperRoman"/>
      <w:lvlText w:val="%1."/>
      <w:lvlJc w:val="right"/>
      <w:pPr>
        <w:ind w:left="720" w:hanging="360"/>
      </w:pPr>
    </w:lvl>
    <w:lvl w:ilvl="1" w:tplc="FFFFFFFF">
      <w:start w:val="1"/>
      <w:numFmt w:val="decimal"/>
      <w:lvlText w:val="%2."/>
      <w:lvlJc w:val="left"/>
      <w:pPr>
        <w:ind w:left="1440" w:hanging="360"/>
      </w:pPr>
    </w:lvl>
    <w:lvl w:ilvl="2" w:tplc="04090017">
      <w:start w:val="1"/>
      <w:numFmt w:val="lowerLetter"/>
      <w:lvlText w:val="%3)"/>
      <w:lvlJc w:val="left"/>
      <w:pPr>
        <w:ind w:left="2340" w:hanging="360"/>
      </w:pPr>
    </w:lvl>
    <w:lvl w:ilvl="3" w:tplc="08BA2272">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D92706"/>
    <w:multiLevelType w:val="hybridMultilevel"/>
    <w:tmpl w:val="B59CB0CC"/>
    <w:lvl w:ilvl="0" w:tplc="04020017">
      <w:start w:val="1"/>
      <w:numFmt w:val="low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15:restartNumberingAfterBreak="0">
    <w:nsid w:val="10C63AA5"/>
    <w:multiLevelType w:val="hybridMultilevel"/>
    <w:tmpl w:val="5DB8C4D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D439F"/>
    <w:multiLevelType w:val="hybridMultilevel"/>
    <w:tmpl w:val="D8362D1C"/>
    <w:lvl w:ilvl="0" w:tplc="19CAA77C">
      <w:start w:val="1"/>
      <w:numFmt w:val="decimal"/>
      <w:lvlText w:val="%1."/>
      <w:lvlJc w:val="left"/>
      <w:pPr>
        <w:ind w:left="1070" w:hanging="360"/>
      </w:pPr>
      <w:rPr>
        <w:rFonts w:hint="default"/>
        <w:color w:val="000000" w:themeColor="text1"/>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6" w15:restartNumberingAfterBreak="0">
    <w:nsid w:val="1A5F533B"/>
    <w:multiLevelType w:val="hybridMultilevel"/>
    <w:tmpl w:val="AAD42C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BCB75B2"/>
    <w:multiLevelType w:val="hybridMultilevel"/>
    <w:tmpl w:val="DEB8ED3E"/>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15:restartNumberingAfterBreak="0">
    <w:nsid w:val="1FE30E75"/>
    <w:multiLevelType w:val="hybridMultilevel"/>
    <w:tmpl w:val="9B8E1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51C31"/>
    <w:multiLevelType w:val="hybridMultilevel"/>
    <w:tmpl w:val="C31CB4C2"/>
    <w:lvl w:ilvl="0" w:tplc="0409000F">
      <w:start w:val="1"/>
      <w:numFmt w:val="decimal"/>
      <w:lvlText w:val="%1."/>
      <w:lvlJc w:val="left"/>
      <w:pPr>
        <w:ind w:left="1440" w:hanging="360"/>
      </w:pPr>
    </w:lvl>
    <w:lvl w:ilvl="1" w:tplc="0402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8944BA"/>
    <w:multiLevelType w:val="hybridMultilevel"/>
    <w:tmpl w:val="A6F82AE6"/>
    <w:lvl w:ilvl="0" w:tplc="0409000F">
      <w:start w:val="1"/>
      <w:numFmt w:val="decimal"/>
      <w:lvlText w:val="%1."/>
      <w:lvlJc w:val="left"/>
      <w:pPr>
        <w:ind w:left="1440" w:hanging="360"/>
      </w:pPr>
    </w:lvl>
    <w:lvl w:ilvl="1" w:tplc="04020017">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0A0E26"/>
    <w:multiLevelType w:val="hybridMultilevel"/>
    <w:tmpl w:val="FEC2F2F2"/>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2" w15:restartNumberingAfterBreak="0">
    <w:nsid w:val="26193C41"/>
    <w:multiLevelType w:val="hybridMultilevel"/>
    <w:tmpl w:val="7B18A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F5531"/>
    <w:multiLevelType w:val="hybridMultilevel"/>
    <w:tmpl w:val="FA52A5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4407133"/>
    <w:multiLevelType w:val="hybridMultilevel"/>
    <w:tmpl w:val="E28CC9E0"/>
    <w:lvl w:ilvl="0" w:tplc="49BC343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A6117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D04DD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F6E4F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8CF5F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D6871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3E697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6677B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FE58F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80165BE"/>
    <w:multiLevelType w:val="hybridMultilevel"/>
    <w:tmpl w:val="5F3CE88E"/>
    <w:lvl w:ilvl="0" w:tplc="08BA227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63E63AD6"/>
    <w:multiLevelType w:val="hybridMultilevel"/>
    <w:tmpl w:val="ADA8952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8071956"/>
    <w:multiLevelType w:val="hybridMultilevel"/>
    <w:tmpl w:val="7C92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56972"/>
    <w:multiLevelType w:val="hybridMultilevel"/>
    <w:tmpl w:val="1F5462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86628AC"/>
    <w:multiLevelType w:val="hybridMultilevel"/>
    <w:tmpl w:val="010A5B7E"/>
    <w:lvl w:ilvl="0" w:tplc="04020011">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15:restartNumberingAfterBreak="0">
    <w:nsid w:val="7D5F7A9B"/>
    <w:multiLevelType w:val="hybridMultilevel"/>
    <w:tmpl w:val="9E3CDDCE"/>
    <w:lvl w:ilvl="0" w:tplc="D1C4F648">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4"/>
  </w:num>
  <w:num w:numId="2">
    <w:abstractNumId w:val="9"/>
  </w:num>
  <w:num w:numId="3">
    <w:abstractNumId w:val="17"/>
  </w:num>
  <w:num w:numId="4">
    <w:abstractNumId w:val="0"/>
  </w:num>
  <w:num w:numId="5">
    <w:abstractNumId w:val="1"/>
  </w:num>
  <w:num w:numId="6">
    <w:abstractNumId w:val="20"/>
  </w:num>
  <w:num w:numId="7">
    <w:abstractNumId w:val="3"/>
  </w:num>
  <w:num w:numId="8">
    <w:abstractNumId w:val="19"/>
  </w:num>
  <w:num w:numId="9">
    <w:abstractNumId w:val="15"/>
  </w:num>
  <w:num w:numId="10">
    <w:abstractNumId w:val="8"/>
  </w:num>
  <w:num w:numId="11">
    <w:abstractNumId w:val="7"/>
  </w:num>
  <w:num w:numId="12">
    <w:abstractNumId w:val="12"/>
  </w:num>
  <w:num w:numId="13">
    <w:abstractNumId w:val="13"/>
  </w:num>
  <w:num w:numId="14">
    <w:abstractNumId w:val="11"/>
  </w:num>
  <w:num w:numId="15">
    <w:abstractNumId w:val="10"/>
  </w:num>
  <w:num w:numId="16">
    <w:abstractNumId w:val="4"/>
  </w:num>
  <w:num w:numId="17">
    <w:abstractNumId w:val="2"/>
  </w:num>
  <w:num w:numId="18">
    <w:abstractNumId w:val="6"/>
  </w:num>
  <w:num w:numId="19">
    <w:abstractNumId w:val="16"/>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BE"/>
    <w:rsid w:val="0001469D"/>
    <w:rsid w:val="00056F55"/>
    <w:rsid w:val="000721FD"/>
    <w:rsid w:val="000A183E"/>
    <w:rsid w:val="000C1718"/>
    <w:rsid w:val="000D1310"/>
    <w:rsid w:val="00145396"/>
    <w:rsid w:val="0019235A"/>
    <w:rsid w:val="001A27D0"/>
    <w:rsid w:val="001C0739"/>
    <w:rsid w:val="001C0E59"/>
    <w:rsid w:val="001C148D"/>
    <w:rsid w:val="001C76C7"/>
    <w:rsid w:val="001D1606"/>
    <w:rsid w:val="001F1894"/>
    <w:rsid w:val="001F35B8"/>
    <w:rsid w:val="00226525"/>
    <w:rsid w:val="00280B31"/>
    <w:rsid w:val="00292734"/>
    <w:rsid w:val="002A705A"/>
    <w:rsid w:val="002B58EC"/>
    <w:rsid w:val="002E2A93"/>
    <w:rsid w:val="002F5A1A"/>
    <w:rsid w:val="00305310"/>
    <w:rsid w:val="00310959"/>
    <w:rsid w:val="00313EFD"/>
    <w:rsid w:val="00321795"/>
    <w:rsid w:val="00340782"/>
    <w:rsid w:val="0035358B"/>
    <w:rsid w:val="003545BB"/>
    <w:rsid w:val="003646C7"/>
    <w:rsid w:val="00382EBB"/>
    <w:rsid w:val="0039306D"/>
    <w:rsid w:val="004443C0"/>
    <w:rsid w:val="004551FB"/>
    <w:rsid w:val="0046617C"/>
    <w:rsid w:val="0048097F"/>
    <w:rsid w:val="00482715"/>
    <w:rsid w:val="00496CA9"/>
    <w:rsid w:val="004A6AC4"/>
    <w:rsid w:val="005245C7"/>
    <w:rsid w:val="00541EB5"/>
    <w:rsid w:val="00572181"/>
    <w:rsid w:val="005725E5"/>
    <w:rsid w:val="00582573"/>
    <w:rsid w:val="00591336"/>
    <w:rsid w:val="005C212F"/>
    <w:rsid w:val="005D6981"/>
    <w:rsid w:val="005F75EA"/>
    <w:rsid w:val="00605ABA"/>
    <w:rsid w:val="00614559"/>
    <w:rsid w:val="00625B47"/>
    <w:rsid w:val="0068782A"/>
    <w:rsid w:val="0069038F"/>
    <w:rsid w:val="00697C40"/>
    <w:rsid w:val="006A02B2"/>
    <w:rsid w:val="006B1FA1"/>
    <w:rsid w:val="006C6A49"/>
    <w:rsid w:val="007145D2"/>
    <w:rsid w:val="007155FA"/>
    <w:rsid w:val="00756522"/>
    <w:rsid w:val="00763499"/>
    <w:rsid w:val="007D345D"/>
    <w:rsid w:val="007E13BB"/>
    <w:rsid w:val="007F28D1"/>
    <w:rsid w:val="008078A0"/>
    <w:rsid w:val="00867602"/>
    <w:rsid w:val="008C6883"/>
    <w:rsid w:val="008F0136"/>
    <w:rsid w:val="00927DBE"/>
    <w:rsid w:val="00947335"/>
    <w:rsid w:val="00964349"/>
    <w:rsid w:val="00992152"/>
    <w:rsid w:val="00994DE4"/>
    <w:rsid w:val="009B02C0"/>
    <w:rsid w:val="009C239C"/>
    <w:rsid w:val="009E3D68"/>
    <w:rsid w:val="00A00D17"/>
    <w:rsid w:val="00A2505F"/>
    <w:rsid w:val="00A37556"/>
    <w:rsid w:val="00A576C6"/>
    <w:rsid w:val="00A6749D"/>
    <w:rsid w:val="00A93122"/>
    <w:rsid w:val="00AD351B"/>
    <w:rsid w:val="00B233C6"/>
    <w:rsid w:val="00B30C92"/>
    <w:rsid w:val="00B36D3D"/>
    <w:rsid w:val="00B37B1B"/>
    <w:rsid w:val="00B96F9B"/>
    <w:rsid w:val="00BA6E52"/>
    <w:rsid w:val="00BB732D"/>
    <w:rsid w:val="00BC3B51"/>
    <w:rsid w:val="00BE064B"/>
    <w:rsid w:val="00C05297"/>
    <w:rsid w:val="00C22060"/>
    <w:rsid w:val="00C46B4E"/>
    <w:rsid w:val="00C87140"/>
    <w:rsid w:val="00CA00AA"/>
    <w:rsid w:val="00CC2C34"/>
    <w:rsid w:val="00CE56C8"/>
    <w:rsid w:val="00CF4766"/>
    <w:rsid w:val="00D22231"/>
    <w:rsid w:val="00D44F87"/>
    <w:rsid w:val="00D455E0"/>
    <w:rsid w:val="00D52B7B"/>
    <w:rsid w:val="00D6483C"/>
    <w:rsid w:val="00D66E1B"/>
    <w:rsid w:val="00DB580B"/>
    <w:rsid w:val="00DB78D4"/>
    <w:rsid w:val="00DC2308"/>
    <w:rsid w:val="00DC3C98"/>
    <w:rsid w:val="00DC72AE"/>
    <w:rsid w:val="00DF2B40"/>
    <w:rsid w:val="00E02DF6"/>
    <w:rsid w:val="00E27B22"/>
    <w:rsid w:val="00E65E92"/>
    <w:rsid w:val="00E8729F"/>
    <w:rsid w:val="00EA42DC"/>
    <w:rsid w:val="00EB3B63"/>
    <w:rsid w:val="00EF03C9"/>
    <w:rsid w:val="00EF6836"/>
    <w:rsid w:val="00F10547"/>
    <w:rsid w:val="00F143AC"/>
    <w:rsid w:val="00F806A3"/>
    <w:rsid w:val="00F85363"/>
    <w:rsid w:val="00F864FC"/>
    <w:rsid w:val="00F87937"/>
    <w:rsid w:val="00F93F7A"/>
    <w:rsid w:val="00FB1603"/>
    <w:rsid w:val="00FB381A"/>
    <w:rsid w:val="00FC576D"/>
    <w:rsid w:val="00FF3E3E"/>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5910"/>
  <w15:docId w15:val="{B480E285-979D-4408-A3A0-B42BD010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9" w:lineRule="auto"/>
      <w:ind w:right="10"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4" w:line="253" w:lineRule="auto"/>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5ABA"/>
    <w:pPr>
      <w:ind w:left="720"/>
      <w:contextualSpacing/>
    </w:pPr>
  </w:style>
  <w:style w:type="paragraph" w:styleId="Footer">
    <w:name w:val="footer"/>
    <w:basedOn w:val="Normal"/>
    <w:link w:val="FooterChar"/>
    <w:uiPriority w:val="99"/>
    <w:unhideWhenUsed/>
    <w:rsid w:val="002F5A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5A1A"/>
    <w:rPr>
      <w:rFonts w:ascii="Times New Roman" w:eastAsia="Times New Roman" w:hAnsi="Times New Roman" w:cs="Times New Roman"/>
      <w:color w:val="000000"/>
      <w:sz w:val="28"/>
    </w:rPr>
  </w:style>
  <w:style w:type="paragraph" w:styleId="Header">
    <w:name w:val="header"/>
    <w:basedOn w:val="Normal"/>
    <w:link w:val="HeaderChar"/>
    <w:uiPriority w:val="99"/>
    <w:unhideWhenUsed/>
    <w:rsid w:val="002F5A1A"/>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2F5A1A"/>
    <w:rPr>
      <w:rFonts w:cs="Times New Roman"/>
    </w:rPr>
  </w:style>
  <w:style w:type="paragraph" w:styleId="BalloonText">
    <w:name w:val="Balloon Text"/>
    <w:basedOn w:val="Normal"/>
    <w:link w:val="BalloonTextChar"/>
    <w:uiPriority w:val="99"/>
    <w:semiHidden/>
    <w:unhideWhenUsed/>
    <w:rsid w:val="00A0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17"/>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1C76C7"/>
    <w:rPr>
      <w:sz w:val="16"/>
      <w:szCs w:val="16"/>
    </w:rPr>
  </w:style>
  <w:style w:type="paragraph" w:styleId="CommentText">
    <w:name w:val="annotation text"/>
    <w:basedOn w:val="Normal"/>
    <w:link w:val="CommentTextChar"/>
    <w:uiPriority w:val="99"/>
    <w:semiHidden/>
    <w:unhideWhenUsed/>
    <w:rsid w:val="001C76C7"/>
    <w:pPr>
      <w:spacing w:line="240" w:lineRule="auto"/>
    </w:pPr>
    <w:rPr>
      <w:sz w:val="20"/>
      <w:szCs w:val="20"/>
    </w:rPr>
  </w:style>
  <w:style w:type="character" w:customStyle="1" w:styleId="CommentTextChar">
    <w:name w:val="Comment Text Char"/>
    <w:basedOn w:val="DefaultParagraphFont"/>
    <w:link w:val="CommentText"/>
    <w:uiPriority w:val="99"/>
    <w:semiHidden/>
    <w:rsid w:val="001C76C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C76C7"/>
    <w:rPr>
      <w:b/>
      <w:bCs/>
    </w:rPr>
  </w:style>
  <w:style w:type="character" w:customStyle="1" w:styleId="CommentSubjectChar">
    <w:name w:val="Comment Subject Char"/>
    <w:basedOn w:val="CommentTextChar"/>
    <w:link w:val="CommentSubject"/>
    <w:uiPriority w:val="99"/>
    <w:semiHidden/>
    <w:rsid w:val="001C76C7"/>
    <w:rPr>
      <w:rFonts w:ascii="Times New Roman" w:eastAsia="Times New Roman" w:hAnsi="Times New Roman" w:cs="Times New Roman"/>
      <w:b/>
      <w:bCs/>
      <w:color w:val="000000"/>
      <w:sz w:val="20"/>
      <w:szCs w:val="20"/>
    </w:rPr>
  </w:style>
  <w:style w:type="character" w:customStyle="1" w:styleId="a">
    <w:name w:val="Основен текст"/>
    <w:basedOn w:val="DefaultParagraphFont"/>
    <w:rsid w:val="00FB160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3763">
      <w:bodyDiv w:val="1"/>
      <w:marLeft w:val="0"/>
      <w:marRight w:val="0"/>
      <w:marTop w:val="0"/>
      <w:marBottom w:val="0"/>
      <w:divBdr>
        <w:top w:val="none" w:sz="0" w:space="0" w:color="auto"/>
        <w:left w:val="none" w:sz="0" w:space="0" w:color="auto"/>
        <w:bottom w:val="none" w:sz="0" w:space="0" w:color="auto"/>
        <w:right w:val="none" w:sz="0" w:space="0" w:color="auto"/>
      </w:divBdr>
    </w:div>
    <w:div w:id="413355147">
      <w:bodyDiv w:val="1"/>
      <w:marLeft w:val="0"/>
      <w:marRight w:val="0"/>
      <w:marTop w:val="0"/>
      <w:marBottom w:val="0"/>
      <w:divBdr>
        <w:top w:val="none" w:sz="0" w:space="0" w:color="auto"/>
        <w:left w:val="none" w:sz="0" w:space="0" w:color="auto"/>
        <w:bottom w:val="none" w:sz="0" w:space="0" w:color="auto"/>
        <w:right w:val="none" w:sz="0" w:space="0" w:color="auto"/>
      </w:divBdr>
    </w:div>
    <w:div w:id="517037322">
      <w:bodyDiv w:val="1"/>
      <w:marLeft w:val="0"/>
      <w:marRight w:val="0"/>
      <w:marTop w:val="0"/>
      <w:marBottom w:val="0"/>
      <w:divBdr>
        <w:top w:val="none" w:sz="0" w:space="0" w:color="auto"/>
        <w:left w:val="none" w:sz="0" w:space="0" w:color="auto"/>
        <w:bottom w:val="none" w:sz="0" w:space="0" w:color="auto"/>
        <w:right w:val="none" w:sz="0" w:space="0" w:color="auto"/>
      </w:divBdr>
    </w:div>
    <w:div w:id="948859262">
      <w:bodyDiv w:val="1"/>
      <w:marLeft w:val="0"/>
      <w:marRight w:val="0"/>
      <w:marTop w:val="0"/>
      <w:marBottom w:val="0"/>
      <w:divBdr>
        <w:top w:val="none" w:sz="0" w:space="0" w:color="auto"/>
        <w:left w:val="none" w:sz="0" w:space="0" w:color="auto"/>
        <w:bottom w:val="none" w:sz="0" w:space="0" w:color="auto"/>
        <w:right w:val="none" w:sz="0" w:space="0" w:color="auto"/>
      </w:divBdr>
    </w:div>
    <w:div w:id="1556087657">
      <w:bodyDiv w:val="1"/>
      <w:marLeft w:val="0"/>
      <w:marRight w:val="0"/>
      <w:marTop w:val="0"/>
      <w:marBottom w:val="0"/>
      <w:divBdr>
        <w:top w:val="none" w:sz="0" w:space="0" w:color="auto"/>
        <w:left w:val="none" w:sz="0" w:space="0" w:color="auto"/>
        <w:bottom w:val="none" w:sz="0" w:space="0" w:color="auto"/>
        <w:right w:val="none" w:sz="0" w:space="0" w:color="auto"/>
      </w:divBdr>
    </w:div>
    <w:div w:id="1848016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197F-E9C5-491E-93CB-393FED8A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Seyko I. Seykov</dc:creator>
  <cp:lastModifiedBy>User</cp:lastModifiedBy>
  <cp:revision>4</cp:revision>
  <cp:lastPrinted>2023-02-16T09:38:00Z</cp:lastPrinted>
  <dcterms:created xsi:type="dcterms:W3CDTF">2023-02-28T06:14:00Z</dcterms:created>
  <dcterms:modified xsi:type="dcterms:W3CDTF">2023-02-28T06:15:00Z</dcterms:modified>
</cp:coreProperties>
</file>