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33856" w14:textId="77777777" w:rsidR="00FC5BC9" w:rsidRPr="00544859" w:rsidRDefault="00F3126A">
      <w:pPr>
        <w:jc w:val="center"/>
        <w:rPr>
          <w:rFonts w:ascii="Times New Roman" w:eastAsia="Times New Roman" w:hAnsi="Times New Roman" w:cs="Times New Roman"/>
          <w:b/>
          <w:bCs/>
          <w:sz w:val="32"/>
          <w:szCs w:val="32"/>
        </w:rPr>
      </w:pPr>
      <w:r w:rsidRPr="00544859">
        <w:rPr>
          <w:rFonts w:ascii="Times New Roman" w:eastAsia="Times New Roman" w:hAnsi="Times New Roman" w:cs="Times New Roman"/>
          <w:b/>
          <w:bCs/>
          <w:sz w:val="32"/>
          <w:szCs w:val="32"/>
        </w:rPr>
        <w:t>ИКОНОМИЧЕСКИ УНИВЕРСИТЕТ – ВАРНА</w:t>
      </w:r>
    </w:p>
    <w:p w14:paraId="6D250319" w14:textId="77777777" w:rsidR="00FC5BC9" w:rsidRPr="00544859" w:rsidRDefault="00F3126A">
      <w:pPr>
        <w:jc w:val="center"/>
        <w:rPr>
          <w:rFonts w:ascii="Times New Roman" w:eastAsia="Times New Roman" w:hAnsi="Times New Roman" w:cs="Times New Roman"/>
          <w:b/>
          <w:bCs/>
          <w:sz w:val="32"/>
          <w:szCs w:val="32"/>
        </w:rPr>
      </w:pPr>
      <w:r w:rsidRPr="00544859">
        <w:rPr>
          <w:rFonts w:ascii="Times New Roman" w:eastAsia="Times New Roman" w:hAnsi="Times New Roman" w:cs="Times New Roman"/>
          <w:b/>
          <w:bCs/>
          <w:sz w:val="32"/>
          <w:szCs w:val="32"/>
        </w:rPr>
        <w:t>ФИНАНСОВО-СЧЕТОВОДЕН ФАКУЛТЕТ</w:t>
      </w:r>
    </w:p>
    <w:p w14:paraId="3FF4B757" w14:textId="77777777" w:rsidR="00FC5BC9" w:rsidRPr="00544859" w:rsidRDefault="00F3126A">
      <w:pPr>
        <w:jc w:val="center"/>
        <w:rPr>
          <w:rFonts w:ascii="Times New Roman" w:eastAsia="Times New Roman" w:hAnsi="Times New Roman" w:cs="Times New Roman"/>
          <w:b/>
          <w:bCs/>
          <w:sz w:val="32"/>
          <w:szCs w:val="32"/>
        </w:rPr>
      </w:pPr>
      <w:r w:rsidRPr="00544859">
        <w:rPr>
          <w:rFonts w:ascii="Times New Roman" w:eastAsia="Times New Roman" w:hAnsi="Times New Roman" w:cs="Times New Roman"/>
          <w:b/>
          <w:bCs/>
          <w:sz w:val="32"/>
          <w:szCs w:val="32"/>
        </w:rPr>
        <w:t>КАТЕДРА „ОБЩА ИКОНОМИЧЕСКА ТЕОРИЯ“</w:t>
      </w:r>
    </w:p>
    <w:p w14:paraId="2A2A55C1" w14:textId="77777777" w:rsidR="00FC5BC9" w:rsidRDefault="00FC5BC9">
      <w:pPr>
        <w:jc w:val="center"/>
        <w:rPr>
          <w:rFonts w:ascii="Times New Roman" w:eastAsia="Times New Roman" w:hAnsi="Times New Roman" w:cs="Times New Roman"/>
        </w:rPr>
      </w:pPr>
    </w:p>
    <w:p w14:paraId="35289C17" w14:textId="77777777" w:rsidR="00FC5BC9" w:rsidRDefault="000D5B77">
      <w:pPr>
        <w:jc w:val="center"/>
        <w:rPr>
          <w:rFonts w:ascii="Times New Roman" w:eastAsia="Times New Roman" w:hAnsi="Times New Roman" w:cs="Times New Roman"/>
        </w:rPr>
      </w:pPr>
      <w:r>
        <w:pict w14:anchorId="1680D0E9">
          <v:rect id="_x0000_i1025" style="width:0;height:1.5pt" o:hralign="center" o:hrstd="t" o:hr="t" fillcolor="#a0a0a0" stroked="f"/>
        </w:pict>
      </w:r>
    </w:p>
    <w:p w14:paraId="71F8E310" w14:textId="77777777" w:rsidR="00FC5BC9" w:rsidRDefault="00FC5BC9">
      <w:pPr>
        <w:jc w:val="center"/>
        <w:rPr>
          <w:rFonts w:ascii="Times New Roman" w:eastAsia="Times New Roman" w:hAnsi="Times New Roman" w:cs="Times New Roman"/>
        </w:rPr>
      </w:pPr>
    </w:p>
    <w:p w14:paraId="742BCC4E" w14:textId="77777777" w:rsidR="00FC5BC9" w:rsidRPr="00544859" w:rsidRDefault="00F3126A">
      <w:pPr>
        <w:jc w:val="center"/>
        <w:rPr>
          <w:rFonts w:ascii="Times New Roman" w:eastAsia="Times New Roman" w:hAnsi="Times New Roman" w:cs="Times New Roman"/>
          <w:b/>
          <w:bCs/>
          <w:sz w:val="32"/>
          <w:szCs w:val="32"/>
        </w:rPr>
      </w:pPr>
      <w:r w:rsidRPr="00544859">
        <w:rPr>
          <w:rFonts w:ascii="Times New Roman" w:eastAsia="Times New Roman" w:hAnsi="Times New Roman" w:cs="Times New Roman"/>
          <w:b/>
          <w:bCs/>
          <w:sz w:val="32"/>
          <w:szCs w:val="32"/>
        </w:rPr>
        <w:t>Ваня Василева Христова</w:t>
      </w:r>
    </w:p>
    <w:p w14:paraId="4F49B0F7" w14:textId="77777777" w:rsidR="00FC5BC9" w:rsidRPr="00544859" w:rsidRDefault="00F3126A">
      <w:pPr>
        <w:jc w:val="center"/>
        <w:rPr>
          <w:rFonts w:ascii="Times New Roman" w:eastAsia="Times New Roman" w:hAnsi="Times New Roman" w:cs="Times New Roman"/>
          <w:b/>
          <w:bCs/>
          <w:sz w:val="32"/>
          <w:szCs w:val="32"/>
        </w:rPr>
      </w:pPr>
      <w:r w:rsidRPr="00544859">
        <w:rPr>
          <w:rFonts w:ascii="Times New Roman" w:eastAsia="Times New Roman" w:hAnsi="Times New Roman" w:cs="Times New Roman"/>
          <w:b/>
          <w:bCs/>
          <w:sz w:val="32"/>
          <w:szCs w:val="32"/>
        </w:rPr>
        <w:t>ПОВЕДЕНЧЕСКИ ПОДХОД КЪМ ИНФЛАЦИОННИТЕ ОЧАКВАНИЯ НА ДОМАКИНСТВАТА</w:t>
      </w:r>
    </w:p>
    <w:p w14:paraId="5916CB78" w14:textId="77777777" w:rsidR="00FC5BC9" w:rsidRDefault="00FC5BC9">
      <w:pPr>
        <w:jc w:val="center"/>
        <w:rPr>
          <w:rFonts w:ascii="Times New Roman" w:eastAsia="Times New Roman" w:hAnsi="Times New Roman" w:cs="Times New Roman"/>
          <w:b/>
          <w:bCs/>
          <w:sz w:val="32"/>
          <w:szCs w:val="32"/>
        </w:rPr>
      </w:pPr>
    </w:p>
    <w:p w14:paraId="5A88AF55" w14:textId="77777777" w:rsidR="00FC5BC9" w:rsidRDefault="00FC5BC9">
      <w:pPr>
        <w:jc w:val="center"/>
        <w:rPr>
          <w:rFonts w:ascii="Times New Roman" w:eastAsia="Times New Roman" w:hAnsi="Times New Roman" w:cs="Times New Roman"/>
          <w:b/>
          <w:bCs/>
          <w:sz w:val="32"/>
          <w:szCs w:val="32"/>
        </w:rPr>
      </w:pPr>
    </w:p>
    <w:p w14:paraId="48BB2991" w14:textId="77777777" w:rsidR="00FC5BC9" w:rsidRDefault="00FC5BC9">
      <w:pPr>
        <w:jc w:val="center"/>
        <w:rPr>
          <w:rFonts w:ascii="Times New Roman" w:eastAsia="Times New Roman" w:hAnsi="Times New Roman" w:cs="Times New Roman"/>
          <w:b/>
          <w:bCs/>
          <w:sz w:val="32"/>
          <w:szCs w:val="32"/>
        </w:rPr>
      </w:pPr>
    </w:p>
    <w:p w14:paraId="4F3689C6" w14:textId="77777777" w:rsidR="00FC5BC9" w:rsidRPr="00544859" w:rsidRDefault="00F3126A">
      <w:pPr>
        <w:jc w:val="center"/>
        <w:rPr>
          <w:rFonts w:ascii="Times New Roman" w:eastAsia="Times New Roman" w:hAnsi="Times New Roman" w:cs="Times New Roman"/>
          <w:b/>
          <w:bCs/>
          <w:sz w:val="36"/>
          <w:szCs w:val="36"/>
        </w:rPr>
      </w:pPr>
      <w:r w:rsidRPr="00544859">
        <w:rPr>
          <w:rFonts w:ascii="Times New Roman" w:eastAsia="Times New Roman" w:hAnsi="Times New Roman" w:cs="Times New Roman"/>
          <w:b/>
          <w:bCs/>
          <w:sz w:val="36"/>
          <w:szCs w:val="36"/>
        </w:rPr>
        <w:t>А В Т О Р Е Ф Е Р А Т</w:t>
      </w:r>
    </w:p>
    <w:p w14:paraId="5CA49921" w14:textId="77777777" w:rsidR="00475D6C" w:rsidRDefault="00F3126A" w:rsidP="00475D6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дисертационен труд за присъждане на образователна и научна степен „доктор“ по професионално направление 3.8. Икономика, </w:t>
      </w:r>
    </w:p>
    <w:p w14:paraId="7A50528F" w14:textId="58D97D7D" w:rsidR="00FC5BC9" w:rsidRDefault="00F312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докторска програма</w:t>
      </w:r>
      <w:r w:rsidR="00475D6C">
        <w:rPr>
          <w:rFonts w:ascii="Times New Roman" w:eastAsia="Times New Roman" w:hAnsi="Times New Roman" w:cs="Times New Roman"/>
          <w:sz w:val="28"/>
          <w:szCs w:val="28"/>
          <w:lang w:val="bg-BG"/>
        </w:rPr>
        <w:t>:</w:t>
      </w:r>
      <w:r>
        <w:rPr>
          <w:rFonts w:ascii="Times New Roman" w:eastAsia="Times New Roman" w:hAnsi="Times New Roman" w:cs="Times New Roman"/>
          <w:sz w:val="28"/>
          <w:szCs w:val="28"/>
        </w:rPr>
        <w:t xml:space="preserve"> „Политическа икономия (Обща икономическа теория)“</w:t>
      </w:r>
    </w:p>
    <w:p w14:paraId="767C2BC9" w14:textId="77777777" w:rsidR="00FC5BC9" w:rsidRDefault="00FC5BC9">
      <w:pPr>
        <w:jc w:val="center"/>
        <w:rPr>
          <w:rFonts w:ascii="Times New Roman" w:eastAsia="Times New Roman" w:hAnsi="Times New Roman" w:cs="Times New Roman"/>
          <w:b/>
          <w:bCs/>
        </w:rPr>
      </w:pPr>
    </w:p>
    <w:p w14:paraId="14A8B755" w14:textId="77777777" w:rsidR="00FC5BC9" w:rsidRDefault="00FC5BC9">
      <w:pPr>
        <w:jc w:val="center"/>
        <w:rPr>
          <w:rFonts w:ascii="Times New Roman" w:eastAsia="Times New Roman" w:hAnsi="Times New Roman" w:cs="Times New Roman"/>
          <w:b/>
          <w:bCs/>
        </w:rPr>
      </w:pPr>
    </w:p>
    <w:p w14:paraId="278DEE5B" w14:textId="77777777" w:rsidR="00FC5BC9" w:rsidRDefault="00FC5BC9">
      <w:pPr>
        <w:jc w:val="center"/>
        <w:rPr>
          <w:rFonts w:ascii="Times New Roman" w:eastAsia="Times New Roman" w:hAnsi="Times New Roman" w:cs="Times New Roman"/>
        </w:rPr>
      </w:pPr>
    </w:p>
    <w:p w14:paraId="0AFDCE90" w14:textId="77777777" w:rsidR="00FC5BC9" w:rsidRDefault="00F3126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Научен ръководител:</w:t>
      </w:r>
    </w:p>
    <w:p w14:paraId="45EA11F3" w14:textId="77777777" w:rsidR="00FC5BC9" w:rsidRDefault="00F3126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Доц. д-р Калоян Колев</w:t>
      </w:r>
    </w:p>
    <w:p w14:paraId="3FBF747D" w14:textId="77777777" w:rsidR="00FC5BC9" w:rsidRDefault="00FC5BC9">
      <w:pPr>
        <w:jc w:val="center"/>
        <w:rPr>
          <w:rFonts w:ascii="Times New Roman" w:eastAsia="Times New Roman" w:hAnsi="Times New Roman" w:cs="Times New Roman"/>
          <w:b/>
          <w:bCs/>
        </w:rPr>
      </w:pPr>
    </w:p>
    <w:p w14:paraId="2EE4B7C1" w14:textId="77777777" w:rsidR="00FC5BC9" w:rsidRDefault="00FC5BC9">
      <w:pPr>
        <w:jc w:val="center"/>
        <w:rPr>
          <w:rFonts w:ascii="Times New Roman" w:eastAsia="Times New Roman" w:hAnsi="Times New Roman" w:cs="Times New Roman"/>
          <w:b/>
          <w:bCs/>
        </w:rPr>
      </w:pPr>
    </w:p>
    <w:p w14:paraId="176A2083" w14:textId="77777777" w:rsidR="00FC5BC9" w:rsidRDefault="00FC5BC9">
      <w:pPr>
        <w:jc w:val="center"/>
        <w:rPr>
          <w:rFonts w:ascii="Times New Roman" w:eastAsia="Times New Roman" w:hAnsi="Times New Roman" w:cs="Times New Roman"/>
          <w:b/>
          <w:bCs/>
        </w:rPr>
      </w:pPr>
    </w:p>
    <w:p w14:paraId="5D6DFA4F" w14:textId="77777777" w:rsidR="00FC5BC9" w:rsidRDefault="00FC5BC9">
      <w:pPr>
        <w:jc w:val="center"/>
        <w:rPr>
          <w:rFonts w:ascii="Times New Roman" w:eastAsia="Times New Roman" w:hAnsi="Times New Roman" w:cs="Times New Roman"/>
          <w:b/>
          <w:bCs/>
          <w:sz w:val="28"/>
          <w:szCs w:val="28"/>
        </w:rPr>
      </w:pPr>
    </w:p>
    <w:p w14:paraId="5F2895CB" w14:textId="77777777" w:rsidR="00FC5BC9" w:rsidRDefault="00F3126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Варна </w:t>
      </w:r>
    </w:p>
    <w:p w14:paraId="33077892" w14:textId="77777777" w:rsidR="00FC5BC9" w:rsidRDefault="00F3126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2026</w:t>
      </w:r>
    </w:p>
    <w:p w14:paraId="40A93B20" w14:textId="5862E64E" w:rsidR="00FC5BC9" w:rsidRPr="00544859" w:rsidRDefault="00F3126A">
      <w:pPr>
        <w:spacing w:line="360" w:lineRule="auto"/>
        <w:jc w:val="both"/>
        <w:rPr>
          <w:rFonts w:ascii="Times New Roman" w:eastAsia="Times New Roman" w:hAnsi="Times New Roman" w:cs="Times New Roman"/>
          <w:sz w:val="28"/>
          <w:szCs w:val="28"/>
        </w:rPr>
      </w:pPr>
      <w:r w:rsidRPr="00544859">
        <w:rPr>
          <w:rFonts w:ascii="Times New Roman" w:eastAsia="Times New Roman" w:hAnsi="Times New Roman" w:cs="Times New Roman"/>
          <w:sz w:val="28"/>
          <w:szCs w:val="28"/>
        </w:rPr>
        <w:lastRenderedPageBreak/>
        <w:tab/>
        <w:t>Дисертационният</w:t>
      </w:r>
      <w:r w:rsidR="00F50FF8">
        <w:rPr>
          <w:rFonts w:ascii="Times New Roman" w:eastAsia="Times New Roman" w:hAnsi="Times New Roman" w:cs="Times New Roman"/>
          <w:sz w:val="28"/>
          <w:szCs w:val="28"/>
        </w:rPr>
        <w:t xml:space="preserve"> труд е разработен в обем от 201</w:t>
      </w:r>
      <w:r w:rsidRPr="00544859">
        <w:rPr>
          <w:rFonts w:ascii="Times New Roman" w:eastAsia="Times New Roman" w:hAnsi="Times New Roman" w:cs="Times New Roman"/>
          <w:sz w:val="28"/>
          <w:szCs w:val="28"/>
        </w:rPr>
        <w:t xml:space="preserve"> стра</w:t>
      </w:r>
      <w:r w:rsidR="00F50FF8">
        <w:rPr>
          <w:rFonts w:ascii="Times New Roman" w:eastAsia="Times New Roman" w:hAnsi="Times New Roman" w:cs="Times New Roman"/>
          <w:sz w:val="28"/>
          <w:szCs w:val="28"/>
        </w:rPr>
        <w:t>ници, в т.ч. основен текст - 179</w:t>
      </w:r>
      <w:bookmarkStart w:id="0" w:name="_GoBack"/>
      <w:bookmarkEnd w:id="0"/>
      <w:r w:rsidRPr="00544859">
        <w:rPr>
          <w:rFonts w:ascii="Times New Roman" w:eastAsia="Times New Roman" w:hAnsi="Times New Roman" w:cs="Times New Roman"/>
          <w:sz w:val="28"/>
          <w:szCs w:val="28"/>
        </w:rPr>
        <w:t xml:space="preserve"> страници (титулна страница, съдържание - 3 страници, увод - 6 страници, три глави - 1</w:t>
      </w:r>
      <w:r w:rsidR="00F50FF8">
        <w:rPr>
          <w:rFonts w:ascii="Times New Roman" w:eastAsia="Times New Roman" w:hAnsi="Times New Roman" w:cs="Times New Roman"/>
          <w:sz w:val="28"/>
          <w:szCs w:val="28"/>
          <w:lang w:val="bg-BG"/>
        </w:rPr>
        <w:t>64</w:t>
      </w:r>
      <w:r w:rsidRPr="00544859">
        <w:rPr>
          <w:rFonts w:ascii="Times New Roman" w:eastAsia="Times New Roman" w:hAnsi="Times New Roman" w:cs="Times New Roman"/>
          <w:sz w:val="28"/>
          <w:szCs w:val="28"/>
        </w:rPr>
        <w:t xml:space="preserve"> страници, заключение - 5 страници), списък с използваната литература - 14 страници и 2 приложения - 6 страници. В основния текст са включени 31 таблици и 4 фигури. Списъкът на използваната литература съдържа 16</w:t>
      </w:r>
      <w:r w:rsidR="00F50FF8">
        <w:rPr>
          <w:rFonts w:ascii="Times New Roman" w:eastAsia="Times New Roman" w:hAnsi="Times New Roman" w:cs="Times New Roman"/>
          <w:sz w:val="28"/>
          <w:szCs w:val="28"/>
          <w:lang w:val="bg-BG"/>
        </w:rPr>
        <w:t>9</w:t>
      </w:r>
      <w:r w:rsidRPr="00544859">
        <w:rPr>
          <w:rFonts w:ascii="Times New Roman" w:eastAsia="Times New Roman" w:hAnsi="Times New Roman" w:cs="Times New Roman"/>
          <w:sz w:val="28"/>
          <w:szCs w:val="28"/>
        </w:rPr>
        <w:t xml:space="preserve"> източника на български и на английски език.</w:t>
      </w:r>
    </w:p>
    <w:p w14:paraId="374E1C68" w14:textId="77777777" w:rsidR="00FC5BC9" w:rsidRDefault="00FC5BC9">
      <w:pPr>
        <w:spacing w:line="360" w:lineRule="auto"/>
        <w:jc w:val="both"/>
        <w:rPr>
          <w:rFonts w:ascii="Times New Roman" w:eastAsia="Times New Roman" w:hAnsi="Times New Roman" w:cs="Times New Roman"/>
          <w:sz w:val="24"/>
          <w:szCs w:val="24"/>
        </w:rPr>
      </w:pPr>
    </w:p>
    <w:p w14:paraId="4AA49D32" w14:textId="77777777" w:rsidR="00FC5BC9" w:rsidRDefault="00FC5BC9">
      <w:pPr>
        <w:spacing w:line="360" w:lineRule="auto"/>
        <w:jc w:val="both"/>
        <w:rPr>
          <w:rFonts w:ascii="Times New Roman" w:eastAsia="Times New Roman" w:hAnsi="Times New Roman" w:cs="Times New Roman"/>
          <w:sz w:val="24"/>
          <w:szCs w:val="24"/>
        </w:rPr>
      </w:pPr>
    </w:p>
    <w:p w14:paraId="282F51B8" w14:textId="77777777" w:rsidR="00FC5BC9" w:rsidRDefault="00FC5BC9">
      <w:pPr>
        <w:spacing w:line="360" w:lineRule="auto"/>
        <w:jc w:val="both"/>
        <w:rPr>
          <w:rFonts w:ascii="Times New Roman" w:eastAsia="Times New Roman" w:hAnsi="Times New Roman" w:cs="Times New Roman"/>
          <w:sz w:val="24"/>
          <w:szCs w:val="24"/>
        </w:rPr>
      </w:pPr>
    </w:p>
    <w:p w14:paraId="3A5ECF6B" w14:textId="77777777" w:rsidR="00FC5BC9" w:rsidRDefault="00FC5BC9">
      <w:pPr>
        <w:spacing w:line="360" w:lineRule="auto"/>
        <w:jc w:val="both"/>
        <w:rPr>
          <w:rFonts w:ascii="Times New Roman" w:eastAsia="Times New Roman" w:hAnsi="Times New Roman" w:cs="Times New Roman"/>
          <w:sz w:val="24"/>
          <w:szCs w:val="24"/>
        </w:rPr>
      </w:pPr>
    </w:p>
    <w:p w14:paraId="624811F6" w14:textId="77777777" w:rsidR="00FC5BC9" w:rsidRDefault="00FC5BC9">
      <w:pPr>
        <w:spacing w:line="360" w:lineRule="auto"/>
        <w:jc w:val="both"/>
        <w:rPr>
          <w:rFonts w:ascii="Times New Roman" w:eastAsia="Times New Roman" w:hAnsi="Times New Roman" w:cs="Times New Roman"/>
          <w:sz w:val="24"/>
          <w:szCs w:val="24"/>
        </w:rPr>
      </w:pPr>
    </w:p>
    <w:p w14:paraId="01E5FF42" w14:textId="77777777" w:rsidR="00FC5BC9" w:rsidRDefault="00FC5BC9">
      <w:pPr>
        <w:spacing w:line="360" w:lineRule="auto"/>
        <w:jc w:val="both"/>
        <w:rPr>
          <w:rFonts w:ascii="Times New Roman" w:eastAsia="Times New Roman" w:hAnsi="Times New Roman" w:cs="Times New Roman"/>
          <w:sz w:val="24"/>
          <w:szCs w:val="24"/>
        </w:rPr>
      </w:pPr>
    </w:p>
    <w:p w14:paraId="6F7E483D" w14:textId="77777777" w:rsidR="00FC5BC9" w:rsidRDefault="00FC5BC9">
      <w:pPr>
        <w:spacing w:line="360" w:lineRule="auto"/>
        <w:jc w:val="both"/>
        <w:rPr>
          <w:rFonts w:ascii="Times New Roman" w:eastAsia="Times New Roman" w:hAnsi="Times New Roman" w:cs="Times New Roman"/>
          <w:sz w:val="24"/>
          <w:szCs w:val="24"/>
        </w:rPr>
      </w:pPr>
    </w:p>
    <w:p w14:paraId="5AA62E04" w14:textId="77777777" w:rsidR="00FC5BC9" w:rsidRDefault="00FC5BC9">
      <w:pPr>
        <w:spacing w:line="360" w:lineRule="auto"/>
        <w:jc w:val="both"/>
        <w:rPr>
          <w:rFonts w:ascii="Times New Roman" w:eastAsia="Times New Roman" w:hAnsi="Times New Roman" w:cs="Times New Roman"/>
          <w:sz w:val="24"/>
          <w:szCs w:val="24"/>
        </w:rPr>
      </w:pPr>
    </w:p>
    <w:p w14:paraId="344048EA" w14:textId="77777777" w:rsidR="00FC5BC9" w:rsidRDefault="00FC5BC9">
      <w:pPr>
        <w:spacing w:line="360" w:lineRule="auto"/>
        <w:jc w:val="both"/>
        <w:rPr>
          <w:rFonts w:ascii="Times New Roman" w:eastAsia="Times New Roman" w:hAnsi="Times New Roman" w:cs="Times New Roman"/>
          <w:sz w:val="24"/>
          <w:szCs w:val="24"/>
        </w:rPr>
      </w:pPr>
    </w:p>
    <w:p w14:paraId="2139FD58" w14:textId="77777777" w:rsidR="00FC5BC9" w:rsidRDefault="00FC5BC9">
      <w:pPr>
        <w:spacing w:line="360" w:lineRule="auto"/>
        <w:jc w:val="both"/>
        <w:rPr>
          <w:rFonts w:ascii="Times New Roman" w:eastAsia="Times New Roman" w:hAnsi="Times New Roman" w:cs="Times New Roman"/>
          <w:sz w:val="24"/>
          <w:szCs w:val="24"/>
        </w:rPr>
      </w:pPr>
    </w:p>
    <w:p w14:paraId="48B8E59F" w14:textId="77777777" w:rsidR="00FC5BC9" w:rsidRDefault="00FC5BC9">
      <w:pPr>
        <w:spacing w:line="360" w:lineRule="auto"/>
        <w:jc w:val="both"/>
        <w:rPr>
          <w:rFonts w:ascii="Times New Roman" w:eastAsia="Times New Roman" w:hAnsi="Times New Roman" w:cs="Times New Roman"/>
          <w:sz w:val="24"/>
          <w:szCs w:val="24"/>
        </w:rPr>
      </w:pPr>
    </w:p>
    <w:p w14:paraId="784DD7A1" w14:textId="77777777" w:rsidR="00FC5BC9" w:rsidRDefault="00FC5B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D5637A5" w14:textId="77777777" w:rsidR="00FC5BC9" w:rsidRDefault="00FC5B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A18E08" w14:textId="77777777" w:rsidR="00FC5BC9" w:rsidRDefault="00FC5B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3D2A1A0" w14:textId="77777777" w:rsidR="00FC5BC9" w:rsidRDefault="00F3126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428F2D00"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9BE237B"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E63EE4A"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AB96719"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5B4F83B"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AA3DA95"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6CF8F51" w14:textId="5CA88C05" w:rsidR="00FC5BC9" w:rsidRPr="00544859" w:rsidRDefault="00F3126A" w:rsidP="0054485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544859">
        <w:rPr>
          <w:rFonts w:ascii="Times New Roman" w:eastAsia="Times New Roman" w:hAnsi="Times New Roman" w:cs="Times New Roman"/>
          <w:color w:val="000000"/>
          <w:sz w:val="28"/>
          <w:szCs w:val="28"/>
        </w:rPr>
        <w:lastRenderedPageBreak/>
        <w:t xml:space="preserve">Дисертационният труд е обсъден и насочен за защита от катедра „Обща икономическа теория” при Икономически университет - Варна. Авторът е докторант към катедра „Обща икономическа теория” при Икономически университет </w:t>
      </w:r>
      <w:r w:rsidRPr="00544859">
        <w:rPr>
          <w:rFonts w:ascii="Times New Roman" w:eastAsia="Times New Roman" w:hAnsi="Times New Roman" w:cs="Times New Roman"/>
          <w:sz w:val="28"/>
          <w:szCs w:val="28"/>
        </w:rPr>
        <w:t>-</w:t>
      </w:r>
      <w:r w:rsidRPr="00544859">
        <w:rPr>
          <w:rFonts w:ascii="Times New Roman" w:eastAsia="Times New Roman" w:hAnsi="Times New Roman" w:cs="Times New Roman"/>
          <w:color w:val="000000"/>
          <w:sz w:val="28"/>
          <w:szCs w:val="28"/>
        </w:rPr>
        <w:t xml:space="preserve"> Варна. </w:t>
      </w:r>
    </w:p>
    <w:p w14:paraId="73BA0C96" w14:textId="491082C5" w:rsidR="00FC5BC9" w:rsidRPr="00544859" w:rsidRDefault="00F3126A" w:rsidP="00544859">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544859">
        <w:rPr>
          <w:rFonts w:ascii="Times New Roman" w:eastAsia="Times New Roman" w:hAnsi="Times New Roman" w:cs="Times New Roman"/>
          <w:color w:val="000000"/>
          <w:sz w:val="28"/>
          <w:szCs w:val="28"/>
        </w:rPr>
        <w:t xml:space="preserve">Защитата на дисертационния труд ще се състои на </w:t>
      </w:r>
      <w:r w:rsidRPr="00544859">
        <w:rPr>
          <w:rFonts w:ascii="Times New Roman" w:eastAsia="Times New Roman" w:hAnsi="Times New Roman" w:cs="Times New Roman"/>
          <w:color w:val="000000"/>
          <w:sz w:val="28"/>
          <w:szCs w:val="28"/>
          <w:highlight w:val="yellow"/>
        </w:rPr>
        <w:t>ДД.ММ.ГГГГ г.</w:t>
      </w:r>
      <w:r w:rsidRPr="00544859">
        <w:rPr>
          <w:rFonts w:ascii="Times New Roman" w:eastAsia="Times New Roman" w:hAnsi="Times New Roman" w:cs="Times New Roman"/>
          <w:color w:val="000000"/>
          <w:sz w:val="28"/>
          <w:szCs w:val="28"/>
        </w:rPr>
        <w:t xml:space="preserve"> от </w:t>
      </w:r>
      <w:r w:rsidRPr="00544859">
        <w:rPr>
          <w:rFonts w:ascii="Times New Roman" w:eastAsia="Times New Roman" w:hAnsi="Times New Roman" w:cs="Times New Roman"/>
          <w:color w:val="000000"/>
          <w:sz w:val="28"/>
          <w:szCs w:val="28"/>
          <w:highlight w:val="yellow"/>
        </w:rPr>
        <w:t>ХХ часа</w:t>
      </w:r>
      <w:r w:rsidRPr="00544859">
        <w:rPr>
          <w:rFonts w:ascii="Times New Roman" w:eastAsia="Times New Roman" w:hAnsi="Times New Roman" w:cs="Times New Roman"/>
          <w:color w:val="000000"/>
          <w:sz w:val="28"/>
          <w:szCs w:val="28"/>
        </w:rPr>
        <w:t xml:space="preserve"> в </w:t>
      </w:r>
      <w:r w:rsidRPr="00544859">
        <w:rPr>
          <w:rFonts w:ascii="Times New Roman" w:eastAsia="Times New Roman" w:hAnsi="Times New Roman" w:cs="Times New Roman"/>
          <w:color w:val="000000"/>
          <w:sz w:val="28"/>
          <w:szCs w:val="28"/>
          <w:highlight w:val="yellow"/>
        </w:rPr>
        <w:t>Зала Х</w:t>
      </w:r>
      <w:r w:rsidRPr="00544859">
        <w:rPr>
          <w:rFonts w:ascii="Times New Roman" w:eastAsia="Times New Roman" w:hAnsi="Times New Roman" w:cs="Times New Roman"/>
          <w:color w:val="000000"/>
          <w:sz w:val="28"/>
          <w:szCs w:val="28"/>
        </w:rPr>
        <w:t xml:space="preserve"> на Икономически университет - Варна на заседание на Научно жури, назначено със Заповед </w:t>
      </w:r>
      <w:r w:rsidRPr="00544859">
        <w:rPr>
          <w:rFonts w:ascii="Times New Roman" w:eastAsia="Times New Roman" w:hAnsi="Times New Roman" w:cs="Times New Roman"/>
          <w:color w:val="000000"/>
          <w:sz w:val="28"/>
          <w:szCs w:val="28"/>
          <w:highlight w:val="yellow"/>
        </w:rPr>
        <w:t>ХХХХ от ДД.ММ.ГГГГ г.</w:t>
      </w:r>
      <w:r w:rsidRPr="00544859">
        <w:rPr>
          <w:rFonts w:ascii="Times New Roman" w:eastAsia="Times New Roman" w:hAnsi="Times New Roman" w:cs="Times New Roman"/>
          <w:color w:val="000000"/>
          <w:sz w:val="28"/>
          <w:szCs w:val="28"/>
        </w:rPr>
        <w:t xml:space="preserve"> на Ректора на Икономически университет - Варна. </w:t>
      </w:r>
    </w:p>
    <w:p w14:paraId="4381C17D" w14:textId="676ABB31" w:rsidR="00FC5BC9" w:rsidRPr="00544859" w:rsidRDefault="00F3126A" w:rsidP="00544859">
      <w:pPr>
        <w:spacing w:after="0" w:line="360" w:lineRule="auto"/>
        <w:ind w:firstLine="567"/>
        <w:jc w:val="both"/>
        <w:rPr>
          <w:rFonts w:ascii="Times New Roman" w:eastAsia="Times New Roman" w:hAnsi="Times New Roman" w:cs="Times New Roman"/>
          <w:sz w:val="28"/>
          <w:szCs w:val="28"/>
        </w:rPr>
      </w:pPr>
      <w:r w:rsidRPr="00544859">
        <w:rPr>
          <w:rFonts w:ascii="Times New Roman" w:eastAsia="Times New Roman" w:hAnsi="Times New Roman" w:cs="Times New Roman"/>
          <w:sz w:val="28"/>
          <w:szCs w:val="28"/>
        </w:rPr>
        <w:t>Материалите по защитата са на разположение на интернет страницата на Икономически университет - Варна, https://ue-varna.bg/</w:t>
      </w:r>
    </w:p>
    <w:p w14:paraId="63E8C0EF" w14:textId="77777777" w:rsidR="00FC5BC9" w:rsidRDefault="00FC5BC9">
      <w:pPr>
        <w:spacing w:line="360" w:lineRule="auto"/>
        <w:jc w:val="both"/>
        <w:rPr>
          <w:rFonts w:ascii="Times New Roman" w:eastAsia="Times New Roman" w:hAnsi="Times New Roman" w:cs="Times New Roman"/>
          <w:sz w:val="24"/>
          <w:szCs w:val="24"/>
        </w:rPr>
      </w:pPr>
    </w:p>
    <w:p w14:paraId="733E7992" w14:textId="77777777" w:rsidR="00FC5BC9" w:rsidRDefault="00FC5BC9">
      <w:pPr>
        <w:spacing w:line="360" w:lineRule="auto"/>
        <w:jc w:val="both"/>
        <w:rPr>
          <w:rFonts w:ascii="Times New Roman" w:eastAsia="Times New Roman" w:hAnsi="Times New Roman" w:cs="Times New Roman"/>
          <w:sz w:val="24"/>
          <w:szCs w:val="24"/>
        </w:rPr>
      </w:pPr>
    </w:p>
    <w:p w14:paraId="3ECAD3B2" w14:textId="77777777" w:rsidR="00FC5BC9" w:rsidRDefault="00FC5BC9">
      <w:pPr>
        <w:spacing w:line="360" w:lineRule="auto"/>
        <w:jc w:val="both"/>
        <w:rPr>
          <w:rFonts w:ascii="Times New Roman" w:eastAsia="Times New Roman" w:hAnsi="Times New Roman" w:cs="Times New Roman"/>
          <w:sz w:val="24"/>
          <w:szCs w:val="24"/>
        </w:rPr>
      </w:pPr>
    </w:p>
    <w:p w14:paraId="06281EAC" w14:textId="77777777" w:rsidR="00FC5BC9" w:rsidRDefault="00FC5BC9">
      <w:pPr>
        <w:spacing w:line="360" w:lineRule="auto"/>
        <w:jc w:val="both"/>
        <w:rPr>
          <w:rFonts w:ascii="Times New Roman" w:eastAsia="Times New Roman" w:hAnsi="Times New Roman" w:cs="Times New Roman"/>
          <w:sz w:val="24"/>
          <w:szCs w:val="24"/>
        </w:rPr>
      </w:pPr>
    </w:p>
    <w:p w14:paraId="4C2D5924" w14:textId="77777777" w:rsidR="00FC5BC9" w:rsidRDefault="00FC5BC9">
      <w:pPr>
        <w:spacing w:line="360" w:lineRule="auto"/>
        <w:jc w:val="both"/>
        <w:rPr>
          <w:rFonts w:ascii="Times New Roman" w:eastAsia="Times New Roman" w:hAnsi="Times New Roman" w:cs="Times New Roman"/>
          <w:sz w:val="24"/>
          <w:szCs w:val="24"/>
        </w:rPr>
      </w:pPr>
    </w:p>
    <w:p w14:paraId="02C19DD0" w14:textId="77777777" w:rsidR="00FC5BC9" w:rsidRDefault="00FC5BC9">
      <w:pPr>
        <w:spacing w:line="360" w:lineRule="auto"/>
        <w:jc w:val="both"/>
        <w:rPr>
          <w:rFonts w:ascii="Times New Roman" w:eastAsia="Times New Roman" w:hAnsi="Times New Roman" w:cs="Times New Roman"/>
          <w:sz w:val="24"/>
          <w:szCs w:val="24"/>
        </w:rPr>
      </w:pPr>
    </w:p>
    <w:p w14:paraId="58CFDEF9" w14:textId="77777777" w:rsidR="00FC5BC9" w:rsidRDefault="00FC5BC9">
      <w:pPr>
        <w:spacing w:line="360" w:lineRule="auto"/>
        <w:jc w:val="both"/>
        <w:rPr>
          <w:rFonts w:ascii="Times New Roman" w:eastAsia="Times New Roman" w:hAnsi="Times New Roman" w:cs="Times New Roman"/>
          <w:sz w:val="24"/>
          <w:szCs w:val="24"/>
        </w:rPr>
      </w:pPr>
    </w:p>
    <w:p w14:paraId="39A9C8F5" w14:textId="77777777" w:rsidR="00FC5BC9" w:rsidRDefault="00FC5BC9">
      <w:pPr>
        <w:spacing w:line="360" w:lineRule="auto"/>
        <w:jc w:val="both"/>
        <w:rPr>
          <w:rFonts w:ascii="Times New Roman" w:eastAsia="Times New Roman" w:hAnsi="Times New Roman" w:cs="Times New Roman"/>
          <w:sz w:val="24"/>
          <w:szCs w:val="24"/>
        </w:rPr>
      </w:pPr>
    </w:p>
    <w:p w14:paraId="2C23238F" w14:textId="77777777" w:rsidR="00FC5BC9" w:rsidRDefault="00FC5BC9">
      <w:pPr>
        <w:spacing w:line="360" w:lineRule="auto"/>
        <w:jc w:val="both"/>
        <w:rPr>
          <w:rFonts w:ascii="Times New Roman" w:eastAsia="Times New Roman" w:hAnsi="Times New Roman" w:cs="Times New Roman"/>
          <w:sz w:val="24"/>
          <w:szCs w:val="24"/>
        </w:rPr>
      </w:pPr>
    </w:p>
    <w:p w14:paraId="5B17F5A5" w14:textId="77777777" w:rsidR="00FC5BC9" w:rsidRDefault="00FC5BC9">
      <w:pPr>
        <w:spacing w:line="360" w:lineRule="auto"/>
        <w:jc w:val="both"/>
        <w:rPr>
          <w:rFonts w:ascii="Times New Roman" w:eastAsia="Times New Roman" w:hAnsi="Times New Roman" w:cs="Times New Roman"/>
          <w:sz w:val="24"/>
          <w:szCs w:val="24"/>
        </w:rPr>
      </w:pPr>
    </w:p>
    <w:p w14:paraId="42D2CCCF" w14:textId="77777777" w:rsidR="00FC5BC9" w:rsidRPr="00544859" w:rsidRDefault="00F3126A" w:rsidP="00544859">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sidRPr="00544859">
        <w:rPr>
          <w:rFonts w:ascii="Times New Roman" w:eastAsia="Times New Roman" w:hAnsi="Times New Roman" w:cs="Times New Roman"/>
          <w:b/>
          <w:bCs/>
          <w:color w:val="000000"/>
          <w:sz w:val="28"/>
          <w:szCs w:val="28"/>
        </w:rPr>
        <w:t xml:space="preserve">Автор: </w:t>
      </w:r>
      <w:r w:rsidRPr="00544859">
        <w:rPr>
          <w:rFonts w:ascii="Times New Roman" w:eastAsia="Times New Roman" w:hAnsi="Times New Roman" w:cs="Times New Roman"/>
          <w:color w:val="000000"/>
          <w:sz w:val="28"/>
          <w:szCs w:val="28"/>
        </w:rPr>
        <w:t xml:space="preserve">Ваня Василева Христова </w:t>
      </w:r>
    </w:p>
    <w:p w14:paraId="2C07F499" w14:textId="77777777" w:rsidR="00FC5BC9" w:rsidRPr="00544859" w:rsidRDefault="00F3126A" w:rsidP="00544859">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sidRPr="00544859">
        <w:rPr>
          <w:rFonts w:ascii="Times New Roman" w:eastAsia="Times New Roman" w:hAnsi="Times New Roman" w:cs="Times New Roman"/>
          <w:b/>
          <w:bCs/>
          <w:color w:val="000000"/>
          <w:sz w:val="28"/>
          <w:szCs w:val="28"/>
        </w:rPr>
        <w:t xml:space="preserve">Заглавие: </w:t>
      </w:r>
      <w:r w:rsidRPr="00544859">
        <w:rPr>
          <w:rFonts w:ascii="Times New Roman" w:eastAsia="Times New Roman" w:hAnsi="Times New Roman" w:cs="Times New Roman"/>
          <w:color w:val="000000"/>
          <w:sz w:val="28"/>
          <w:szCs w:val="28"/>
        </w:rPr>
        <w:t xml:space="preserve">Поведенчески подход към инфлационните очаквания на домакинствата </w:t>
      </w:r>
    </w:p>
    <w:p w14:paraId="483F4B6D" w14:textId="77777777" w:rsidR="00FC5BC9" w:rsidRPr="00544859" w:rsidRDefault="00F3126A" w:rsidP="00544859">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sidRPr="00544859">
        <w:rPr>
          <w:rFonts w:ascii="Times New Roman" w:eastAsia="Times New Roman" w:hAnsi="Times New Roman" w:cs="Times New Roman"/>
          <w:b/>
          <w:bCs/>
          <w:color w:val="000000"/>
          <w:sz w:val="28"/>
          <w:szCs w:val="28"/>
        </w:rPr>
        <w:t xml:space="preserve">Тираж: </w:t>
      </w:r>
      <w:r w:rsidRPr="00544859">
        <w:rPr>
          <w:rFonts w:ascii="Times New Roman" w:eastAsia="Times New Roman" w:hAnsi="Times New Roman" w:cs="Times New Roman"/>
          <w:color w:val="000000"/>
          <w:sz w:val="28"/>
          <w:szCs w:val="28"/>
        </w:rPr>
        <w:t xml:space="preserve">… бр. </w:t>
      </w:r>
    </w:p>
    <w:p w14:paraId="3F3D7721" w14:textId="77777777" w:rsidR="00FC5BC9" w:rsidRPr="00544859" w:rsidRDefault="00F3126A" w:rsidP="00544859">
      <w:pPr>
        <w:spacing w:after="0" w:line="360" w:lineRule="auto"/>
        <w:jc w:val="both"/>
        <w:rPr>
          <w:rFonts w:ascii="Times New Roman" w:eastAsia="Times New Roman" w:hAnsi="Times New Roman" w:cs="Times New Roman"/>
          <w:b/>
          <w:bCs/>
          <w:sz w:val="28"/>
          <w:szCs w:val="28"/>
        </w:rPr>
      </w:pPr>
      <w:r w:rsidRPr="00544859">
        <w:rPr>
          <w:rFonts w:ascii="Times New Roman" w:eastAsia="Times New Roman" w:hAnsi="Times New Roman" w:cs="Times New Roman"/>
          <w:b/>
          <w:bCs/>
          <w:sz w:val="28"/>
          <w:szCs w:val="28"/>
        </w:rPr>
        <w:t>Печат: Печатна база на Икономически университет – Варна</w:t>
      </w:r>
    </w:p>
    <w:p w14:paraId="3410015C"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lastRenderedPageBreak/>
        <w:t>I. ОБЩА ХАРАКТЕРИСТИКА НА ДИСЕРТАЦИОННИЯ ТРУД</w:t>
      </w:r>
    </w:p>
    <w:p w14:paraId="6510EE20"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1. Актуалност и значимост на изследването</w:t>
      </w:r>
    </w:p>
    <w:p w14:paraId="558C3B4F"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 xml:space="preserve"> Актуалността на настоящото изследване се обуславя от нарастващото значение на инфлацията като ключов фактор, формиращ икономическото поведение в условията на повишена макроикономическа несигурност. През последното десетилетие глобалната икономика се характеризира с последователни ценови шокове, засилена волатилност на инфлационните процеси и усложнена интерпретация на ценовите сигнали, което поставя инфлационните очаквания в центъра на макроикономическия анализ (Woodford, 2003; Mishkin, 2019). В този контекст традиционните подходи, които разглеждат инфлацията предимно чрез агрегирани показатели и рационални модели на очакванията, показват ограничена обяснителна сила по отношение на реалното поведение на икономическите агенти, особено на домакинствата (Muth, 1961; Lucas, 1972).</w:t>
      </w:r>
    </w:p>
    <w:p w14:paraId="7FCC1EEF"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Съществен аспект на актуалността на темата е свързан с емпирично установеното разминаване между наблюдаваната инфлация и субективните инфлационни очаквания на домакинствата (Coibion &amp; Gorodnichenko, 2015). В практиката тези очаквания често се формират не чрез систематичен анализ на макроикономически данни, а под влияние на непосредствения ценови опит, информационната среда и ограниченията на вниманието и когнитивната обработка (Carroll, 2003; Sims, 2003). Това налага разширяване на аналитичната рамка отвъд стандартните допускания за рационалност и насочване към поведенческите механизми, чрез които икономическите агенти интерпретират ценовата динамика и изграждат своите представи за бъдещето (Kahneman &amp; Tversky, 1974; Thaler, 2016). В този контекст инфлационните очаквания се разглеждат като </w:t>
      </w:r>
      <w:r w:rsidRPr="00475D6C">
        <w:rPr>
          <w:rFonts w:ascii="Times New Roman" w:eastAsia="Times New Roman" w:hAnsi="Times New Roman" w:cs="Times New Roman"/>
          <w:i/>
          <w:iCs/>
          <w:sz w:val="28"/>
          <w:szCs w:val="28"/>
        </w:rPr>
        <w:t xml:space="preserve">субективни, контекстно обусловени представи на икономическите агенти за бъдещата ценова динамика - опростен </w:t>
      </w:r>
      <w:r w:rsidRPr="00475D6C">
        <w:rPr>
          <w:rFonts w:ascii="Times New Roman" w:eastAsia="Times New Roman" w:hAnsi="Times New Roman" w:cs="Times New Roman"/>
          <w:i/>
          <w:iCs/>
          <w:sz w:val="28"/>
          <w:szCs w:val="28"/>
        </w:rPr>
        <w:lastRenderedPageBreak/>
        <w:t>когнитивен ориентир, който домакинствата използват при вземането на икономически решения в условия на несигурност</w:t>
      </w:r>
      <w:r w:rsidRPr="00475D6C">
        <w:rPr>
          <w:rFonts w:ascii="Times New Roman" w:eastAsia="Times New Roman" w:hAnsi="Times New Roman" w:cs="Times New Roman"/>
          <w:sz w:val="28"/>
          <w:szCs w:val="28"/>
        </w:rPr>
        <w:t>.</w:t>
      </w:r>
    </w:p>
    <w:p w14:paraId="54CBC3D7"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Актуалността на изследването се засилва допълнително от специфичния български контекст. Процесът на подготовка за присъединяване към еврозоната поставя икономиката в състояние на номинален преход, характеризиращо се с повишена чувствителност към ценовите изменения и засилено обществено внимание към инфлацията, което усилва разминаването между измерена и възприемана инфлация. В подобна среда механизмите на възприемане и интерпретация на ценовите сигнали придобиват особено значение, тъй като те влияят както върху индивидуалните икономически решения, така и върху доверието в институциите и ефективността на провежданата икономическа политика.</w:t>
      </w:r>
    </w:p>
    <w:p w14:paraId="2824E340"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На този фон се откроява съществена празнина в съществуващата научна литература. Въпреки че поведенческата икономика идентифицира редица фактори, влияещи върху формирането на инфлационните очаквания - когнитивни евристики, афективни реакции и социални влияния - те рядко са интегрирани в последователна аналитична рамка, която да обяснява процеса в неговата цялост (Malmendier &amp; Nagel, 2016; Gennaioli et al., 2018). Липсата на такава рамка ограничава възможностите за систематично изследване на взаимодействието между информационната среда, когнитивната интерпретация и стабилизацията на инфлационните оценки. Значимостта на настоящия дисертационен труд произтича от опита да се преодолее именно тази теоретична и емпирична празнина чрез разработването и апробирането на интегративна поведенческа аналитична рамка за формиране на инфлационните очаквания. Предложеният модел, структуриран около последователността „среда - превод - стабилизация“, обяснява как домакинствата трансформират </w:t>
      </w:r>
      <w:r w:rsidRPr="00475D6C">
        <w:rPr>
          <w:rFonts w:ascii="Times New Roman" w:eastAsia="Times New Roman" w:hAnsi="Times New Roman" w:cs="Times New Roman"/>
          <w:sz w:val="28"/>
          <w:szCs w:val="28"/>
        </w:rPr>
        <w:lastRenderedPageBreak/>
        <w:t>ценовата информация в числови инфлационни оценки и как тези оценки се стабилизират във времето.</w:t>
      </w:r>
    </w:p>
    <w:p w14:paraId="2A2EE76B"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Научният принос на изследването преодолява ограниченията на стандартния макроикономически анализ чрез интегриране на поведенчески подход към очакванията и разкрива връзката между ценовата динамика и икономическите решения на микроравнище (Woodford, 2003). Практическата приложимост се изразява в потенциала на разработената рамка да подпомогне дизайна на публичната комуникация и да осигури по-адекватно съобразяване с начина, по който инфлационната среда се възприема и интерпретира от домакинствата. </w:t>
      </w:r>
    </w:p>
    <w:p w14:paraId="6470AD30" w14:textId="77777777" w:rsidR="00FC5BC9" w:rsidRPr="00475D6C" w:rsidRDefault="00F3126A" w:rsidP="00475D6C">
      <w:pPr>
        <w:spacing w:after="0" w:line="360" w:lineRule="auto"/>
        <w:ind w:firstLine="720"/>
        <w:jc w:val="both"/>
        <w:rPr>
          <w:rFonts w:ascii="Times New Roman" w:eastAsia="Times New Roman" w:hAnsi="Times New Roman" w:cs="Times New Roman"/>
          <w:color w:val="FF0000"/>
          <w:sz w:val="28"/>
          <w:szCs w:val="28"/>
        </w:rPr>
      </w:pPr>
      <w:r w:rsidRPr="00475D6C">
        <w:rPr>
          <w:rFonts w:ascii="Times New Roman" w:eastAsia="Times New Roman" w:hAnsi="Times New Roman" w:cs="Times New Roman"/>
          <w:sz w:val="28"/>
          <w:szCs w:val="28"/>
        </w:rPr>
        <w:t>В този смисъл изследването се позиционира на пресечната точка между макроикономическата теория и поведенческата икономика, като предлага нова перспектива към анализа на инфлационните очаквания - не като пасивно отражение на икономическата реалност, а като активен поведенчески механизъм, който участва в самото формиране на инфлационната динамика.</w:t>
      </w:r>
    </w:p>
    <w:p w14:paraId="51B108EA"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2. Предмет и обект на изследването</w:t>
      </w:r>
    </w:p>
    <w:p w14:paraId="0FAFEA3A"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b/>
          <w:bCs/>
          <w:sz w:val="28"/>
          <w:szCs w:val="28"/>
        </w:rPr>
        <w:tab/>
        <w:t xml:space="preserve">Предмет на изследването </w:t>
      </w:r>
      <w:r w:rsidRPr="00475D6C">
        <w:rPr>
          <w:rFonts w:ascii="Times New Roman" w:eastAsia="Times New Roman" w:hAnsi="Times New Roman" w:cs="Times New Roman"/>
          <w:sz w:val="28"/>
          <w:szCs w:val="28"/>
        </w:rPr>
        <w:t xml:space="preserve">е механизмът на формиране на инфлационните очаквания като поведенчески процес. </w:t>
      </w:r>
    </w:p>
    <w:p w14:paraId="6AB97827"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Pr="00475D6C">
        <w:rPr>
          <w:rFonts w:ascii="Times New Roman" w:eastAsia="Times New Roman" w:hAnsi="Times New Roman" w:cs="Times New Roman"/>
          <w:b/>
          <w:bCs/>
          <w:sz w:val="28"/>
          <w:szCs w:val="28"/>
        </w:rPr>
        <w:t xml:space="preserve">Обект </w:t>
      </w:r>
      <w:r w:rsidRPr="00475D6C">
        <w:rPr>
          <w:rFonts w:ascii="Times New Roman" w:eastAsia="Times New Roman" w:hAnsi="Times New Roman" w:cs="Times New Roman"/>
          <w:sz w:val="28"/>
          <w:szCs w:val="28"/>
        </w:rPr>
        <w:t>на изследването е ролята и взаимодействието на поведенческите фактори - информационната среда, когнитивните и афективните механизми на интерпретация и социалните ориентири, при формирането и стабилизирането на инфлационните очаквания на домакинствата.</w:t>
      </w:r>
    </w:p>
    <w:p w14:paraId="7B32A119"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 xml:space="preserve">3. Основна изследователска теза и хипотеза </w:t>
      </w:r>
    </w:p>
    <w:p w14:paraId="605B3BFC"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b/>
          <w:bCs/>
          <w:color w:val="000000"/>
          <w:sz w:val="28"/>
          <w:szCs w:val="28"/>
        </w:rPr>
        <w:tab/>
        <w:t xml:space="preserve">Основната теза </w:t>
      </w:r>
      <w:r w:rsidRPr="00475D6C">
        <w:rPr>
          <w:rFonts w:ascii="Times New Roman" w:eastAsia="Times New Roman" w:hAnsi="Times New Roman" w:cs="Times New Roman"/>
          <w:color w:val="000000"/>
          <w:sz w:val="28"/>
          <w:szCs w:val="28"/>
        </w:rPr>
        <w:t xml:space="preserve">на настоящия дисертационен труд е, че инфлационните очаквания на домакинствата не са продукт на чиста икономическа рационалност и директно усвояване на официалната статистика, а се формират като сложен поведенчески конструкт чрез последователни когнитивни </w:t>
      </w:r>
      <w:r w:rsidRPr="00475D6C">
        <w:rPr>
          <w:rFonts w:ascii="Times New Roman" w:eastAsia="Times New Roman" w:hAnsi="Times New Roman" w:cs="Times New Roman"/>
          <w:color w:val="000000"/>
          <w:sz w:val="28"/>
          <w:szCs w:val="28"/>
        </w:rPr>
        <w:lastRenderedPageBreak/>
        <w:t xml:space="preserve">операции (експозиция, превод и стабилизация), които се модерират от архитектурата на избора и институционалното доверие. </w:t>
      </w:r>
    </w:p>
    <w:p w14:paraId="27190EC9"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Pr="00475D6C">
        <w:rPr>
          <w:rFonts w:ascii="Times New Roman" w:eastAsia="Times New Roman" w:hAnsi="Times New Roman" w:cs="Times New Roman"/>
          <w:b/>
          <w:bCs/>
          <w:sz w:val="28"/>
          <w:szCs w:val="28"/>
        </w:rPr>
        <w:t>Основната</w:t>
      </w:r>
      <w:r w:rsidRPr="00475D6C">
        <w:rPr>
          <w:rFonts w:ascii="Times New Roman" w:eastAsia="Times New Roman" w:hAnsi="Times New Roman" w:cs="Times New Roman"/>
          <w:sz w:val="28"/>
          <w:szCs w:val="28"/>
        </w:rPr>
        <w:t xml:space="preserve"> </w:t>
      </w:r>
      <w:r w:rsidRPr="00475D6C">
        <w:rPr>
          <w:rFonts w:ascii="Times New Roman" w:eastAsia="Times New Roman" w:hAnsi="Times New Roman" w:cs="Times New Roman"/>
          <w:b/>
          <w:bCs/>
          <w:sz w:val="28"/>
          <w:szCs w:val="28"/>
        </w:rPr>
        <w:t xml:space="preserve">изследователска хипотеза </w:t>
      </w:r>
      <w:r w:rsidRPr="00475D6C">
        <w:rPr>
          <w:rFonts w:ascii="Times New Roman" w:eastAsia="Times New Roman" w:hAnsi="Times New Roman" w:cs="Times New Roman"/>
          <w:sz w:val="28"/>
          <w:szCs w:val="28"/>
        </w:rPr>
        <w:t>на дисертацията е, че субективното възприемане на ценовата динамика (наличността) и очакванията за бъдеща инфлация (закотвянето) представляват два напълно различни когнитивни механизма, като първият се определя предимно от интензитета на ежедневния ценови опит, а вторият - от субективната икономическа уязвимост и институционалното доверие. Тази основна хипотеза се декомпозира на набор от специфични работни хипотези, които са детайлно изведени и статистически тествани в Глава трета.</w:t>
      </w:r>
    </w:p>
    <w:p w14:paraId="7C4E9A1A"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4. Цел и задачи на изследването</w:t>
      </w:r>
    </w:p>
    <w:p w14:paraId="6E7AD805"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b/>
          <w:bCs/>
          <w:sz w:val="28"/>
          <w:szCs w:val="28"/>
        </w:rPr>
        <w:tab/>
        <w:t xml:space="preserve">Целта на дисертационния труд </w:t>
      </w:r>
      <w:r w:rsidRPr="00475D6C">
        <w:rPr>
          <w:rFonts w:ascii="Times New Roman" w:eastAsia="Times New Roman" w:hAnsi="Times New Roman" w:cs="Times New Roman"/>
          <w:sz w:val="28"/>
          <w:szCs w:val="28"/>
        </w:rPr>
        <w:t xml:space="preserve">е да се разработи и емпирично апробира поведенческа аналитична рамка за обяснение на механизмите на формиране на инфлационните очаквания при домакинствата. Предложената рамка разглежда този процес като последователност от взаимосвързани механизми, които свързват експозицията към ценови сигнали, тяхната когнитивна интерпретация и стабилизацията на получената числова инфлационна оценка.  </w:t>
      </w:r>
    </w:p>
    <w:p w14:paraId="0FB77DBE"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 xml:space="preserve">За постигането на тази цел изследването си поставя </w:t>
      </w:r>
      <w:r w:rsidRPr="00475D6C">
        <w:rPr>
          <w:rFonts w:ascii="Times New Roman" w:eastAsia="Times New Roman" w:hAnsi="Times New Roman" w:cs="Times New Roman"/>
          <w:b/>
          <w:bCs/>
          <w:sz w:val="28"/>
          <w:szCs w:val="28"/>
        </w:rPr>
        <w:t>следните задачи</w:t>
      </w:r>
      <w:r w:rsidRPr="00475D6C">
        <w:rPr>
          <w:rFonts w:ascii="Times New Roman" w:eastAsia="Times New Roman" w:hAnsi="Times New Roman" w:cs="Times New Roman"/>
          <w:sz w:val="28"/>
          <w:szCs w:val="28"/>
        </w:rPr>
        <w:t xml:space="preserve">: </w:t>
      </w:r>
    </w:p>
    <w:p w14:paraId="0D5F92CE" w14:textId="77777777" w:rsidR="00FC5BC9" w:rsidRPr="00475D6C" w:rsidRDefault="00F3126A" w:rsidP="00475D6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Да се анализират теоретичните основи на инфлационните очаквания в макроикономическата теория и ограниченията на стандартните модели при анализа на поведението на домакинствата; </w:t>
      </w:r>
    </w:p>
    <w:p w14:paraId="268FA5D4" w14:textId="77777777" w:rsidR="00FC5BC9" w:rsidRPr="00475D6C" w:rsidRDefault="00F3126A" w:rsidP="00475D6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Да се изведат основните теоретични аргументи в полза на поведенчески подход към формирането на инфлационните очаквания; </w:t>
      </w:r>
    </w:p>
    <w:p w14:paraId="6FD98A4F" w14:textId="77777777" w:rsidR="00FC5BC9" w:rsidRPr="00475D6C" w:rsidRDefault="00F3126A" w:rsidP="00475D6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Да се систематизират основните поведенчески фактори, влияещи върху възприемането на ценовата динамика; </w:t>
      </w:r>
    </w:p>
    <w:p w14:paraId="079BDFCE" w14:textId="77777777" w:rsidR="00FC5BC9" w:rsidRPr="00475D6C" w:rsidRDefault="00F3126A" w:rsidP="00475D6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Да се разработи интегративна поведенческа аналитична рамка, организирана около последователността „среда - превод - стабилизация“; </w:t>
      </w:r>
    </w:p>
    <w:p w14:paraId="01E592EB" w14:textId="77777777" w:rsidR="00FC5BC9" w:rsidRPr="00475D6C" w:rsidRDefault="00F3126A" w:rsidP="00475D6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lastRenderedPageBreak/>
        <w:t xml:space="preserve">Да се операционализират основните поведенчески механизми и да се формулират изследователски хипотези; </w:t>
      </w:r>
    </w:p>
    <w:p w14:paraId="5F41F3DF" w14:textId="77777777" w:rsidR="00FC5BC9" w:rsidRPr="00475D6C" w:rsidRDefault="00F3126A" w:rsidP="00475D6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Да се тестват емпирично формулираните хипотези върху данни за българските домакинства и да се формулират изводи за ролята на поведенческите механизми и тяхното значение за макроикономическия анализ и публичната комуникация на инфлацията. </w:t>
      </w:r>
    </w:p>
    <w:p w14:paraId="23B5B6AE"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5. Методология на изследването</w:t>
      </w:r>
    </w:p>
    <w:p w14:paraId="0D2DF181"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Използваната в дисертационния труд </w:t>
      </w:r>
      <w:r w:rsidRPr="00475D6C">
        <w:rPr>
          <w:rFonts w:ascii="Times New Roman" w:eastAsia="Times New Roman" w:hAnsi="Times New Roman" w:cs="Times New Roman"/>
          <w:b/>
          <w:bCs/>
          <w:color w:val="000000"/>
          <w:sz w:val="28"/>
          <w:szCs w:val="28"/>
        </w:rPr>
        <w:t xml:space="preserve">методология </w:t>
      </w:r>
      <w:r w:rsidRPr="00475D6C">
        <w:rPr>
          <w:rFonts w:ascii="Times New Roman" w:eastAsia="Times New Roman" w:hAnsi="Times New Roman" w:cs="Times New Roman"/>
          <w:color w:val="000000"/>
          <w:sz w:val="28"/>
          <w:szCs w:val="28"/>
        </w:rPr>
        <w:t xml:space="preserve">съчетава теоретичен анализ, концептуално моделиране и количествено емпирично изследване. Теоретичната част се базира на </w:t>
      </w:r>
      <w:r w:rsidRPr="00475D6C">
        <w:rPr>
          <w:rFonts w:ascii="Times New Roman" w:eastAsia="Times New Roman" w:hAnsi="Times New Roman" w:cs="Times New Roman"/>
          <w:b/>
          <w:bCs/>
          <w:color w:val="000000"/>
          <w:sz w:val="28"/>
          <w:szCs w:val="28"/>
        </w:rPr>
        <w:t xml:space="preserve">критичен литературен преглед и сравнителен анализ </w:t>
      </w:r>
      <w:r w:rsidRPr="00475D6C">
        <w:rPr>
          <w:rFonts w:ascii="Times New Roman" w:eastAsia="Times New Roman" w:hAnsi="Times New Roman" w:cs="Times New Roman"/>
          <w:color w:val="000000"/>
          <w:sz w:val="28"/>
          <w:szCs w:val="28"/>
        </w:rPr>
        <w:t xml:space="preserve">на макроикономическите школи (от рационални очаквания до модели на ограничена рационалност) и на съвременната поведенческа литература. Чрез </w:t>
      </w:r>
      <w:r w:rsidRPr="00475D6C">
        <w:rPr>
          <w:rFonts w:ascii="Times New Roman" w:eastAsia="Times New Roman" w:hAnsi="Times New Roman" w:cs="Times New Roman"/>
          <w:b/>
          <w:bCs/>
          <w:color w:val="000000"/>
          <w:sz w:val="28"/>
          <w:szCs w:val="28"/>
        </w:rPr>
        <w:t xml:space="preserve">метода на дедукцията и концептуалното моделиране </w:t>
      </w:r>
      <w:r w:rsidRPr="00475D6C">
        <w:rPr>
          <w:rFonts w:ascii="Times New Roman" w:eastAsia="Times New Roman" w:hAnsi="Times New Roman" w:cs="Times New Roman"/>
          <w:color w:val="000000"/>
          <w:sz w:val="28"/>
          <w:szCs w:val="28"/>
        </w:rPr>
        <w:t xml:space="preserve">е разработена интегративна аналитична рамка, организирана около логическата последователност „среда - превод - стабилизация“. </w:t>
      </w:r>
    </w:p>
    <w:p w14:paraId="36969DE2"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Емпиричното изследване е реализирано чрез </w:t>
      </w:r>
      <w:r w:rsidRPr="00475D6C">
        <w:rPr>
          <w:rFonts w:ascii="Times New Roman" w:eastAsia="Times New Roman" w:hAnsi="Times New Roman" w:cs="Times New Roman"/>
          <w:b/>
          <w:bCs/>
          <w:color w:val="000000"/>
          <w:sz w:val="28"/>
          <w:szCs w:val="28"/>
        </w:rPr>
        <w:t>количествено анкетно проучване (омнибус)</w:t>
      </w:r>
      <w:r w:rsidRPr="00475D6C">
        <w:rPr>
          <w:rFonts w:ascii="Times New Roman" w:eastAsia="Times New Roman" w:hAnsi="Times New Roman" w:cs="Times New Roman"/>
          <w:color w:val="000000"/>
          <w:sz w:val="28"/>
          <w:szCs w:val="28"/>
        </w:rPr>
        <w:t xml:space="preserve">, проведено сред национално представителна извадка от 1008 български домакинства. За обработка и анализ на първичните данни са приложени следните статистически методи: </w:t>
      </w:r>
    </w:p>
    <w:p w14:paraId="4B33AD89" w14:textId="77777777" w:rsidR="00FC5BC9" w:rsidRPr="00475D6C" w:rsidRDefault="00F3126A"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b/>
          <w:bCs/>
          <w:color w:val="000000"/>
          <w:sz w:val="28"/>
          <w:szCs w:val="28"/>
        </w:rPr>
        <w:t xml:space="preserve">Описателна статистика </w:t>
      </w:r>
      <w:r w:rsidRPr="00475D6C">
        <w:rPr>
          <w:rFonts w:ascii="Times New Roman" w:eastAsia="Times New Roman" w:hAnsi="Times New Roman" w:cs="Times New Roman"/>
          <w:color w:val="000000"/>
          <w:sz w:val="28"/>
          <w:szCs w:val="28"/>
        </w:rPr>
        <w:t xml:space="preserve">за профилиране на извадката и първоначално структуриране на оценките; </w:t>
      </w:r>
    </w:p>
    <w:p w14:paraId="189530B9" w14:textId="77777777" w:rsidR="00FC5BC9" w:rsidRPr="00475D6C" w:rsidRDefault="00F3126A"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b/>
          <w:bCs/>
          <w:color w:val="000000"/>
          <w:sz w:val="28"/>
          <w:szCs w:val="28"/>
        </w:rPr>
        <w:t xml:space="preserve">Непараметрични процедури </w:t>
      </w:r>
      <w:r w:rsidRPr="00475D6C">
        <w:rPr>
          <w:rFonts w:ascii="Times New Roman" w:eastAsia="Times New Roman" w:hAnsi="Times New Roman" w:cs="Times New Roman"/>
          <w:color w:val="000000"/>
          <w:sz w:val="28"/>
          <w:szCs w:val="28"/>
        </w:rPr>
        <w:t xml:space="preserve">(Pearson chi-square test) за установяване на статистически значими асоциации между категорийни променливи; </w:t>
      </w:r>
    </w:p>
    <w:p w14:paraId="2E7AD56B" w14:textId="77777777" w:rsidR="00FC5BC9" w:rsidRPr="00475D6C" w:rsidRDefault="00F3126A"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Анализ чрез </w:t>
      </w:r>
      <w:r w:rsidRPr="00475D6C">
        <w:rPr>
          <w:rFonts w:ascii="Times New Roman" w:eastAsia="Times New Roman" w:hAnsi="Times New Roman" w:cs="Times New Roman"/>
          <w:b/>
          <w:bCs/>
          <w:color w:val="000000"/>
          <w:sz w:val="28"/>
          <w:szCs w:val="28"/>
        </w:rPr>
        <w:t xml:space="preserve">корелационния коефициент ϕ </w:t>
      </w:r>
      <w:r w:rsidRPr="00475D6C">
        <w:rPr>
          <w:rFonts w:ascii="Times New Roman" w:eastAsia="Times New Roman" w:hAnsi="Times New Roman" w:cs="Times New Roman"/>
          <w:color w:val="000000"/>
          <w:sz w:val="28"/>
          <w:szCs w:val="28"/>
        </w:rPr>
        <w:t xml:space="preserve">за определяне на посоката и присъствието на връзките при сравнения; </w:t>
      </w:r>
    </w:p>
    <w:p w14:paraId="395A23CB" w14:textId="77777777" w:rsidR="00FC5BC9" w:rsidRPr="00475D6C" w:rsidRDefault="00F3126A"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b/>
          <w:bCs/>
          <w:color w:val="000000"/>
          <w:sz w:val="28"/>
          <w:szCs w:val="28"/>
        </w:rPr>
        <w:lastRenderedPageBreak/>
        <w:t xml:space="preserve">t-тестове за независими извадки </w:t>
      </w:r>
      <w:r w:rsidRPr="00475D6C">
        <w:rPr>
          <w:rFonts w:ascii="Times New Roman" w:eastAsia="Times New Roman" w:hAnsi="Times New Roman" w:cs="Times New Roman"/>
          <w:color w:val="000000"/>
          <w:sz w:val="28"/>
          <w:szCs w:val="28"/>
        </w:rPr>
        <w:t xml:space="preserve">за сравняване на средните числови инфлационни очаквания между различни поведенчески и демографски групи. </w:t>
      </w:r>
    </w:p>
    <w:p w14:paraId="134EDF5A"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Комбинацията от тези методи позволява преход от теоретичната абстракция към детайлно статистическо тестване на когнитивните механизми (наличност и закотвяне) в специфичния контекст на българската икономика.</w:t>
      </w:r>
    </w:p>
    <w:p w14:paraId="1E5D6D18"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6. Основни ограничения</w:t>
      </w:r>
    </w:p>
    <w:p w14:paraId="012EF65B"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 xml:space="preserve">Научното изследване е реализирано в определена </w:t>
      </w:r>
      <w:r w:rsidRPr="00475D6C">
        <w:rPr>
          <w:rFonts w:ascii="Times New Roman" w:eastAsia="Times New Roman" w:hAnsi="Times New Roman" w:cs="Times New Roman"/>
          <w:b/>
          <w:bCs/>
          <w:sz w:val="28"/>
          <w:szCs w:val="28"/>
        </w:rPr>
        <w:t>ограничителна рамка</w:t>
      </w:r>
      <w:r w:rsidRPr="00475D6C">
        <w:rPr>
          <w:rFonts w:ascii="Times New Roman" w:eastAsia="Times New Roman" w:hAnsi="Times New Roman" w:cs="Times New Roman"/>
          <w:sz w:val="28"/>
          <w:szCs w:val="28"/>
        </w:rPr>
        <w:t xml:space="preserve">, която очертава неговите емпирични и концептуални граници. </w:t>
      </w:r>
    </w:p>
    <w:p w14:paraId="01ADC339"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Pr="00475D6C">
        <w:rPr>
          <w:rFonts w:ascii="Times New Roman" w:eastAsia="Times New Roman" w:hAnsi="Times New Roman" w:cs="Times New Roman"/>
          <w:i/>
          <w:iCs/>
          <w:sz w:val="28"/>
          <w:szCs w:val="28"/>
        </w:rPr>
        <w:t>На първо място,</w:t>
      </w:r>
      <w:r w:rsidRPr="00475D6C">
        <w:rPr>
          <w:rFonts w:ascii="Times New Roman" w:eastAsia="Times New Roman" w:hAnsi="Times New Roman" w:cs="Times New Roman"/>
          <w:sz w:val="28"/>
          <w:szCs w:val="28"/>
        </w:rPr>
        <w:t xml:space="preserve"> анализът се фокусира върху инфлационните очаквания на домакинствата, като съзнателно изключва очакванията на фирмите и финансовите пазари. Този избор произтича от целта на дисертацията - да се подчертае специфичната роля на домакинствата като ключов микроикономически агент в процеса на формиране на очакванията. Ограничаването до тази група позволява по-задълбочен анализ на когнитивните и поведенческите механизми, но не позволява директно сравнение с други икономически агенти.  </w:t>
      </w:r>
    </w:p>
    <w:p w14:paraId="32A08F83"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Pr="00475D6C">
        <w:rPr>
          <w:rFonts w:ascii="Times New Roman" w:eastAsia="Times New Roman" w:hAnsi="Times New Roman" w:cs="Times New Roman"/>
          <w:i/>
          <w:iCs/>
          <w:sz w:val="28"/>
          <w:szCs w:val="28"/>
        </w:rPr>
        <w:t>На второ място,</w:t>
      </w:r>
      <w:r w:rsidRPr="00475D6C">
        <w:rPr>
          <w:rFonts w:ascii="Times New Roman" w:eastAsia="Times New Roman" w:hAnsi="Times New Roman" w:cs="Times New Roman"/>
          <w:sz w:val="28"/>
          <w:szCs w:val="28"/>
        </w:rPr>
        <w:t xml:space="preserve"> емпиричният анализ е ограничен до България и се основава на национално представителни данни от Потребителското изследване на Европейската комисия. Този избор е мотивиран от стремежа да се изследва специфичният национален контекст, характеризиращ се с висока ценова чувствителност, сравнително ниско институционално доверие и предстоящото приемане на еврото. Поради това резултатите следва да се интерпретират в рамките на конкретната социално-икономическа среда. </w:t>
      </w:r>
    </w:p>
    <w:p w14:paraId="54AE572C"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Pr="00475D6C">
        <w:rPr>
          <w:rFonts w:ascii="Times New Roman" w:eastAsia="Times New Roman" w:hAnsi="Times New Roman" w:cs="Times New Roman"/>
          <w:i/>
          <w:iCs/>
          <w:sz w:val="28"/>
          <w:szCs w:val="28"/>
        </w:rPr>
        <w:t>Трето,</w:t>
      </w:r>
      <w:r w:rsidRPr="00475D6C">
        <w:rPr>
          <w:rFonts w:ascii="Times New Roman" w:eastAsia="Times New Roman" w:hAnsi="Times New Roman" w:cs="Times New Roman"/>
          <w:sz w:val="28"/>
          <w:szCs w:val="28"/>
        </w:rPr>
        <w:t xml:space="preserve"> анализът се основава на напречно-срезови анкетни данни и използва опростени измерители на поведенческите процеси, което ограничава </w:t>
      </w:r>
      <w:r w:rsidRPr="00475D6C">
        <w:rPr>
          <w:rFonts w:ascii="Times New Roman" w:eastAsia="Times New Roman" w:hAnsi="Times New Roman" w:cs="Times New Roman"/>
          <w:sz w:val="28"/>
          <w:szCs w:val="28"/>
        </w:rPr>
        <w:lastRenderedPageBreak/>
        <w:t xml:space="preserve">възможностите за проследяване на динамиката във времето и за прецизно измерване на когнитивните и афективните механизми. В този смисъл установените зависимости следва да се интерпретират като статистически и поведенчески закономерности, а не като причинно-следствени връзки. </w:t>
      </w:r>
    </w:p>
    <w:p w14:paraId="3F5317C3"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Pr="00475D6C">
        <w:rPr>
          <w:rFonts w:ascii="Times New Roman" w:eastAsia="Times New Roman" w:hAnsi="Times New Roman" w:cs="Times New Roman"/>
          <w:i/>
          <w:iCs/>
          <w:sz w:val="28"/>
          <w:szCs w:val="28"/>
        </w:rPr>
        <w:t>Четвърто,</w:t>
      </w:r>
      <w:r w:rsidRPr="00475D6C">
        <w:rPr>
          <w:rFonts w:ascii="Times New Roman" w:eastAsia="Times New Roman" w:hAnsi="Times New Roman" w:cs="Times New Roman"/>
          <w:sz w:val="28"/>
          <w:szCs w:val="28"/>
        </w:rPr>
        <w:t xml:space="preserve"> изследването разглежда поведенческите механизми в икономически план, без да навлиза в клинични или невронаучни измерения, а използваните данни са самодекларирани и отразяват субективни възприятия, което е едновременно ограничение и същностна характеристика на предмета на изследването. </w:t>
      </w:r>
    </w:p>
    <w:p w14:paraId="71C37971"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Тези ограничения очертават границите на проведеното изследване и едновременно с това насочват към възможни посоки за бъдеща работа, включително панелни анализи, експериментални дизайни и по-задълбочено изследване на ролята на институционалните фактори в стабилизирането на инфлационните очаквания.</w:t>
      </w:r>
    </w:p>
    <w:p w14:paraId="4C401166"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7. Източници на информация</w:t>
      </w:r>
    </w:p>
    <w:p w14:paraId="50E85FC7"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Необходимата информация за осъществяване на целта на изследването е събрана чрез:</w:t>
      </w:r>
    </w:p>
    <w:p w14:paraId="7DAF3A71" w14:textId="77777777" w:rsidR="00FC5BC9" w:rsidRPr="00475D6C" w:rsidRDefault="00F3126A" w:rsidP="00475D6C">
      <w:pPr>
        <w:numPr>
          <w:ilvl w:val="0"/>
          <w:numId w:val="5"/>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първични данни от количествено анкетно проучване (омнибус), реализирано в рамките на Потребителското изследване на Европейската комисия - вълна юни 2025 г., към което е добавен разработен от автора поведенчески модул; в анализа са използвани данни както от основния въпросник на изследването, така и от допълнителния модул, като проучването е проведено сред национално представителна извадка от български домакинства; </w:t>
      </w:r>
    </w:p>
    <w:p w14:paraId="4662097F" w14:textId="77777777" w:rsidR="00FC5BC9" w:rsidRPr="00475D6C" w:rsidRDefault="00F3126A" w:rsidP="00475D6C">
      <w:pPr>
        <w:numPr>
          <w:ilvl w:val="0"/>
          <w:numId w:val="5"/>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вторични данни от проучване на научни публикации от български и чуждестранни автори в областите на макроикономиката, инфлационните процеси, инфлационните очаквания и поведенческата икономика.</w:t>
      </w:r>
    </w:p>
    <w:p w14:paraId="3A131E23" w14:textId="77777777" w:rsidR="00FC5BC9" w:rsidRPr="00475D6C" w:rsidRDefault="00FC5BC9" w:rsidP="00475D6C">
      <w:pPr>
        <w:spacing w:after="0" w:line="360" w:lineRule="auto"/>
        <w:ind w:left="720"/>
        <w:jc w:val="both"/>
        <w:rPr>
          <w:rFonts w:ascii="Times New Roman" w:eastAsia="Times New Roman" w:hAnsi="Times New Roman" w:cs="Times New Roman"/>
          <w:sz w:val="28"/>
          <w:szCs w:val="28"/>
        </w:rPr>
      </w:pPr>
    </w:p>
    <w:p w14:paraId="0A77E5C2"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b/>
          <w:bCs/>
          <w:sz w:val="28"/>
          <w:szCs w:val="28"/>
        </w:rPr>
        <w:t xml:space="preserve">8. Апробация </w:t>
      </w:r>
    </w:p>
    <w:p w14:paraId="34B5EA11"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Дисертационният труд е обсъден на заседания на Катедра „Обща икономическа теория“ в Икономически университет - Варна. Части от разработката са представени на международни научни конференции и са публикувани като доклади и статии в специализирани научни издания.</w:t>
      </w:r>
    </w:p>
    <w:p w14:paraId="41E1568F" w14:textId="77777777" w:rsidR="00FC5BC9" w:rsidRDefault="00FC5BC9" w:rsidP="005735A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CC27141" w14:textId="77777777" w:rsidR="00FC5BC9"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СТРУКТУРА И СЪДЪРЖАНИЕ НА ДИСЕРТАЦИОННИЯ ТРУД</w:t>
      </w:r>
    </w:p>
    <w:p w14:paraId="4A7FCB7D" w14:textId="77777777"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Структурата на дисертационния труд следва логиката на изследването и осигурява последователен преход от теоретичния анализ към изграждането на аналитичната рамка и нейното емпирично изследване.</w:t>
      </w:r>
    </w:p>
    <w:p w14:paraId="23AE6470" w14:textId="77777777" w:rsidR="00FC5BC9" w:rsidRPr="00475D6C" w:rsidRDefault="00F3126A" w:rsidP="00475D6C">
      <w:pPr>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r w:rsidRPr="00475D6C">
        <w:rPr>
          <w:rFonts w:ascii="Times New Roman" w:eastAsia="Times New Roman" w:hAnsi="Times New Roman" w:cs="Times New Roman"/>
          <w:b/>
          <w:bCs/>
          <w:color w:val="000000"/>
          <w:sz w:val="28"/>
          <w:szCs w:val="28"/>
        </w:rPr>
        <w:t xml:space="preserve">Увод </w:t>
      </w:r>
    </w:p>
    <w:p w14:paraId="35114B82"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b/>
          <w:bCs/>
          <w:color w:val="000000"/>
          <w:sz w:val="28"/>
          <w:szCs w:val="28"/>
        </w:rPr>
        <w:t>ГЛАВА ПЪРВА</w:t>
      </w:r>
      <w:r w:rsidRPr="00475D6C">
        <w:rPr>
          <w:rFonts w:ascii="Times New Roman" w:eastAsia="Times New Roman" w:hAnsi="Times New Roman" w:cs="Times New Roman"/>
          <w:color w:val="000000"/>
          <w:sz w:val="28"/>
          <w:szCs w:val="28"/>
        </w:rPr>
        <w:t xml:space="preserve">: </w:t>
      </w:r>
      <w:r w:rsidRPr="00475D6C">
        <w:rPr>
          <w:rFonts w:ascii="Times New Roman" w:eastAsia="Times New Roman" w:hAnsi="Times New Roman" w:cs="Times New Roman"/>
          <w:b/>
          <w:bCs/>
          <w:color w:val="000000"/>
          <w:sz w:val="28"/>
          <w:szCs w:val="28"/>
        </w:rPr>
        <w:t>Теоретични подходи към инфлационните очаквания на домакинствата: обхват и ограничения</w:t>
      </w:r>
    </w:p>
    <w:p w14:paraId="738A8CB8" w14:textId="0223C7F0"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1.1. Инфлационният процес </w:t>
      </w:r>
    </w:p>
    <w:p w14:paraId="25456E86" w14:textId="31B9EF25"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1.2. Роля на инфлационните очаквания в макроикономическата теория: фон, механизъм, процес </w:t>
      </w:r>
    </w:p>
    <w:p w14:paraId="73ADD1EF"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1.2.1. Очакванията като фон </w:t>
      </w:r>
    </w:p>
    <w:p w14:paraId="6E5BB40F"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1.2.2. Очакванията като механизъм: пари, трудов пазар и параметри на политиката </w:t>
      </w:r>
    </w:p>
    <w:p w14:paraId="4F179590"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1.2.3. Очакванията като процес: ригидности в цените и заплатите и информационни ограничения </w:t>
      </w:r>
    </w:p>
    <w:p w14:paraId="56D1A7BA" w14:textId="451837AF"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1.3. От очаквания към потребление: избор, изпълнимост и адаптиране </w:t>
      </w:r>
    </w:p>
    <w:p w14:paraId="441C726C"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1.3.1. Времеви хоризонт и структура на разходите: междувремеви избор и разпределение </w:t>
      </w:r>
    </w:p>
    <w:p w14:paraId="125E69A3"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1.3.2. Изпълнимост на избора: ликвидност, буфери и кредитни ограничения </w:t>
      </w:r>
    </w:p>
    <w:p w14:paraId="4B0741DE"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lastRenderedPageBreak/>
        <w:tab/>
        <w:t xml:space="preserve">1.3.3. Адаптиране на реакциите на домакинствата: ролята на информационните сигнали и възприятията за икономическата политика </w:t>
      </w:r>
    </w:p>
    <w:p w14:paraId="7076CF91" w14:textId="4D1D0BDD"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1.4. Инфлационните очаквания като измерим обект: дефиниране, моделиране и свойства на разпределението  </w:t>
      </w:r>
    </w:p>
    <w:p w14:paraId="1905D96D"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1.4.1. Дефиниране и моделиране на очакванията: вход, актуализация, числов резултат </w:t>
      </w:r>
    </w:p>
    <w:p w14:paraId="1072E5DF"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1.4.2. Емпирични свойства: хоризонт, закотвяне и хетерогенност </w:t>
      </w:r>
    </w:p>
    <w:p w14:paraId="22E94320" w14:textId="6E5D0E93"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1.5. Дефицити на рационалните модели и преход към поведенческо моделиране на домакинствата </w:t>
      </w:r>
    </w:p>
    <w:p w14:paraId="69C0F56B"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1.5.1 Инфлационен режим, структурна неопределеност и граници на рационалните очаквания </w:t>
      </w:r>
    </w:p>
    <w:p w14:paraId="2A93FF10"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1.5.2. Междувремеви решения и инертност </w:t>
      </w:r>
    </w:p>
    <w:p w14:paraId="0AACBF97"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1.5.3. Интерпретация на информацията и поведенчески подход </w:t>
      </w:r>
    </w:p>
    <w:p w14:paraId="1FC7382B"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sidRPr="00475D6C">
        <w:rPr>
          <w:rFonts w:ascii="Times New Roman" w:eastAsia="Times New Roman" w:hAnsi="Times New Roman" w:cs="Times New Roman"/>
          <w:b/>
          <w:bCs/>
          <w:color w:val="000000"/>
          <w:sz w:val="28"/>
          <w:szCs w:val="28"/>
        </w:rPr>
        <w:t>ГЛАВА ВТОРА: Поведенческа рамка - публична среда, превод и стабилизация на инфлационните очаквания</w:t>
      </w:r>
    </w:p>
    <w:p w14:paraId="38C281F8" w14:textId="03050FD2"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2.1. Архитектура на избора: между сигналите и превода на инфлационните очаквания. </w:t>
      </w:r>
    </w:p>
    <w:p w14:paraId="1900D15A" w14:textId="743CACD9"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2.2. Инструменти на информационния дизайн</w:t>
      </w:r>
    </w:p>
    <w:p w14:paraId="4F6C1D65" w14:textId="56BFFE90"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2.3. Когнитивен превод: класически евристики</w:t>
      </w:r>
    </w:p>
    <w:p w14:paraId="01B09246"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2.3.1. Наличностна евристика</w:t>
      </w:r>
    </w:p>
    <w:p w14:paraId="6DE82E17"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2.3.2. Евристика на закотвянето </w:t>
      </w:r>
    </w:p>
    <w:p w14:paraId="7F3D1E11"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2.3.3. Евристика на представителността </w:t>
      </w:r>
    </w:p>
    <w:p w14:paraId="66B770BA" w14:textId="1E95C34A"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2.4. Афективен превод: афектна евристика и обновяване на очакванията </w:t>
      </w:r>
    </w:p>
    <w:p w14:paraId="266C87D5" w14:textId="7271B3B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2.5. Стабилизация на ориентира: социални и структурни модератори </w:t>
      </w:r>
    </w:p>
    <w:p w14:paraId="2CA3BE50"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2.5.1. Потребителска кошница и икономическа уязвимост </w:t>
      </w:r>
    </w:p>
    <w:p w14:paraId="20C8C4ED"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2.5.2. Финансова компетентност и културен контекст </w:t>
      </w:r>
    </w:p>
    <w:p w14:paraId="513784F9"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2.5.3. Институционално доверие и легитимност на прогнозите </w:t>
      </w:r>
    </w:p>
    <w:p w14:paraId="59F52C3B"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lastRenderedPageBreak/>
        <w:tab/>
        <w:t xml:space="preserve">2.5.4. Медийна среда и рамкиране на инфлационните процеси </w:t>
      </w:r>
    </w:p>
    <w:p w14:paraId="2DAEC33A"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2.5.5. Социални взаимодействия и влияние на близкия кръг </w:t>
      </w:r>
    </w:p>
    <w:p w14:paraId="24846236" w14:textId="0F08586A"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2.6. Интегративна рамка: среда - превод - стабилизация </w:t>
      </w:r>
    </w:p>
    <w:p w14:paraId="05B878CE" w14:textId="4E348165"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2.7. Измерване и операционализация на рамката </w:t>
      </w:r>
    </w:p>
    <w:p w14:paraId="10FF1962" w14:textId="4F54E3F2"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2.8. Критики и ограничения на поведенческия подход</w:t>
      </w:r>
    </w:p>
    <w:p w14:paraId="57F05A65"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b/>
          <w:bCs/>
          <w:color w:val="000000"/>
          <w:sz w:val="28"/>
          <w:szCs w:val="28"/>
        </w:rPr>
        <w:t>ГЛАВА ТРЕТА:</w:t>
      </w:r>
      <w:r w:rsidRPr="00475D6C">
        <w:rPr>
          <w:rFonts w:ascii="Times New Roman" w:eastAsia="Times New Roman" w:hAnsi="Times New Roman" w:cs="Times New Roman"/>
          <w:color w:val="000000"/>
          <w:sz w:val="28"/>
          <w:szCs w:val="28"/>
        </w:rPr>
        <w:t xml:space="preserve"> </w:t>
      </w:r>
      <w:r w:rsidRPr="00475D6C">
        <w:rPr>
          <w:rFonts w:ascii="Times New Roman" w:eastAsia="Times New Roman" w:hAnsi="Times New Roman" w:cs="Times New Roman"/>
          <w:b/>
          <w:bCs/>
          <w:color w:val="000000"/>
          <w:sz w:val="28"/>
          <w:szCs w:val="28"/>
        </w:rPr>
        <w:t>Емпирично изследване на формирането на инфлационните очаквания на българските домакинства</w:t>
      </w:r>
    </w:p>
    <w:p w14:paraId="3AC8C157" w14:textId="06B9961B"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3.1. България като емпиричен контекст: ценова среда и институционална динамика </w:t>
      </w:r>
    </w:p>
    <w:p w14:paraId="42ADE89E" w14:textId="18C03F76"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3.2. Методологичен дизайн и аналитичен подход </w:t>
      </w:r>
    </w:p>
    <w:p w14:paraId="24C1D037"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3.2.1. Дизайн на проучването </w:t>
      </w:r>
    </w:p>
    <w:p w14:paraId="3A5D8727"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3.2.2. Генерална съвкупност и извадка </w:t>
      </w:r>
    </w:p>
    <w:p w14:paraId="3116AD59"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3.2.3. Аналитични методи  </w:t>
      </w:r>
    </w:p>
    <w:p w14:paraId="4E05026D"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3.2.4. Ограничения на емпиричното изследване </w:t>
      </w:r>
    </w:p>
    <w:p w14:paraId="313AFA4C" w14:textId="224F4771"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3.3. Сигнална среда: експозиция към ценови сигнали и структуриране на инфлационните оценки </w:t>
      </w:r>
    </w:p>
    <w:p w14:paraId="3EA10243"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3.3.1. Аналитични предпоставки и емпирични хипотези </w:t>
      </w:r>
    </w:p>
    <w:p w14:paraId="41E09736"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3.3.2. Наличност и ежедневна ценова експозиция </w:t>
      </w:r>
    </w:p>
    <w:p w14:paraId="6015C869"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3.3.3. Числово позициониране спрямо зададена котва </w:t>
      </w:r>
    </w:p>
    <w:p w14:paraId="3EB63D29" w14:textId="56748F05"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3.4. Операции на превода: интерпретация, афективна рамка и числов превод </w:t>
      </w:r>
    </w:p>
    <w:p w14:paraId="70551FA4"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3.4.1. Аналитични предпоставки и емпирични хипотези </w:t>
      </w:r>
    </w:p>
    <w:p w14:paraId="0CABB6F0"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3.4.2. Наличност като междинен резултат от превода </w:t>
      </w:r>
    </w:p>
    <w:p w14:paraId="3295DF71"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3.4.3. Числова организация на оценките спрямо котвата </w:t>
      </w:r>
    </w:p>
    <w:p w14:paraId="3AA9CC1E" w14:textId="509F8BE8"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3.5. Стабилизация на инфлационните оценки: уязвимост, ресурси и институционални ориентири  </w:t>
      </w:r>
    </w:p>
    <w:p w14:paraId="1F085B1D"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3.5.1. Аналитични предпоставки и емпирични хипотези  </w:t>
      </w:r>
    </w:p>
    <w:p w14:paraId="1E9C3490"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3.5.2. Наличност и устойчивост на възприятието </w:t>
      </w:r>
    </w:p>
    <w:p w14:paraId="699947A9"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lastRenderedPageBreak/>
        <w:tab/>
        <w:t xml:space="preserve">3.5.3. Числово позициониране и стабилизиращи модератори </w:t>
      </w:r>
    </w:p>
    <w:p w14:paraId="3073EFCE" w14:textId="5889E1DF"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3.6. Публична комуникация и инфлационни очаквания в условия на ограничена рационалност </w:t>
      </w:r>
    </w:p>
    <w:p w14:paraId="6AC371F9"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sidRPr="00475D6C">
        <w:rPr>
          <w:rFonts w:ascii="Times New Roman" w:eastAsia="Times New Roman" w:hAnsi="Times New Roman" w:cs="Times New Roman"/>
          <w:b/>
          <w:bCs/>
          <w:color w:val="000000"/>
          <w:sz w:val="28"/>
          <w:szCs w:val="28"/>
        </w:rPr>
        <w:t xml:space="preserve">Заключение </w:t>
      </w:r>
    </w:p>
    <w:p w14:paraId="5E371035" w14:textId="7777777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sidRPr="00475D6C">
        <w:rPr>
          <w:rFonts w:ascii="Times New Roman" w:eastAsia="Times New Roman" w:hAnsi="Times New Roman" w:cs="Times New Roman"/>
          <w:b/>
          <w:bCs/>
          <w:color w:val="000000"/>
          <w:sz w:val="28"/>
          <w:szCs w:val="28"/>
        </w:rPr>
        <w:t xml:space="preserve">ПРИЛОЖЕНИЯ </w:t>
      </w:r>
    </w:p>
    <w:p w14:paraId="7E7BD2A9"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bookmarkStart w:id="1" w:name="_heading=h.ywvwifefp8i1" w:colFirst="0" w:colLast="0"/>
      <w:bookmarkEnd w:id="1"/>
      <w:r w:rsidRPr="00475D6C">
        <w:rPr>
          <w:rFonts w:ascii="Times New Roman" w:eastAsia="Times New Roman" w:hAnsi="Times New Roman" w:cs="Times New Roman"/>
          <w:b/>
          <w:bCs/>
          <w:sz w:val="28"/>
          <w:szCs w:val="28"/>
        </w:rPr>
        <w:t>БИБЛИОГРАФСКА СПРАВКА</w:t>
      </w:r>
    </w:p>
    <w:p w14:paraId="6F4D911E" w14:textId="77777777" w:rsidR="00FC5BC9" w:rsidRPr="00475D6C" w:rsidRDefault="00FC5BC9" w:rsidP="00475D6C">
      <w:pPr>
        <w:spacing w:after="0" w:line="360" w:lineRule="auto"/>
        <w:jc w:val="both"/>
        <w:rPr>
          <w:rFonts w:ascii="Times New Roman" w:eastAsia="Times New Roman" w:hAnsi="Times New Roman" w:cs="Times New Roman"/>
          <w:b/>
          <w:bCs/>
          <w:sz w:val="28"/>
          <w:szCs w:val="28"/>
        </w:rPr>
      </w:pPr>
      <w:bookmarkStart w:id="2" w:name="_heading=h.r8ggf2v6vmm" w:colFirst="0" w:colLast="0"/>
      <w:bookmarkEnd w:id="2"/>
    </w:p>
    <w:p w14:paraId="0DC52DE7"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bookmarkStart w:id="3" w:name="_heading=h.8rxgt3g4ipg3" w:colFirst="0" w:colLast="0"/>
      <w:bookmarkEnd w:id="3"/>
      <w:r w:rsidRPr="00475D6C">
        <w:rPr>
          <w:rFonts w:ascii="Times New Roman" w:eastAsia="Times New Roman" w:hAnsi="Times New Roman" w:cs="Times New Roman"/>
          <w:b/>
          <w:bCs/>
          <w:sz w:val="28"/>
          <w:szCs w:val="28"/>
        </w:rPr>
        <w:t>III. ОСНОВНО СЪДЪРЖАНИЕ НА ДИСЕРТАЦИОННИЯ ТРУД</w:t>
      </w:r>
    </w:p>
    <w:p w14:paraId="607EB016" w14:textId="77777777" w:rsidR="00FC5BC9" w:rsidRPr="00475D6C" w:rsidRDefault="00F3126A">
      <w:pPr>
        <w:pStyle w:val="Heading3"/>
        <w:keepNext w:val="0"/>
        <w:keepLines w:val="0"/>
        <w:spacing w:line="360" w:lineRule="auto"/>
        <w:jc w:val="center"/>
        <w:rPr>
          <w:rFonts w:ascii="Times New Roman" w:eastAsia="Times New Roman" w:hAnsi="Times New Roman" w:cs="Times New Roman"/>
          <w:caps/>
          <w:sz w:val="24"/>
          <w:szCs w:val="24"/>
        </w:rPr>
      </w:pPr>
      <w:bookmarkStart w:id="4" w:name="_heading=h.xk2id2ikpwap" w:colFirst="0" w:colLast="0"/>
      <w:bookmarkEnd w:id="4"/>
      <w:r w:rsidRPr="00475D6C">
        <w:rPr>
          <w:rFonts w:ascii="Times New Roman" w:eastAsia="Times New Roman" w:hAnsi="Times New Roman" w:cs="Times New Roman"/>
          <w:caps/>
          <w:sz w:val="24"/>
          <w:szCs w:val="24"/>
        </w:rPr>
        <w:t>Увод</w:t>
      </w:r>
    </w:p>
    <w:p w14:paraId="77362C88"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увода на дисертационния труд се обосновават актуалността и значимостта на изследваната проблематика, свързана с формирането на инфлационните очаквания на домакинствата в условията на нарастваща макроикономическа нестабилност и ограничена обяснителна сила на стандартните модели. Дефинирани са обектът и предметът на изследването, като фокусът е поставен върху механизма на формиране на инфлационните очаквания като поведенчески процес. Формулирана е целта на дисертационния труд - </w:t>
      </w:r>
      <w:r w:rsidRPr="00475D6C">
        <w:rPr>
          <w:rFonts w:ascii="Times New Roman" w:eastAsia="Times New Roman" w:hAnsi="Times New Roman" w:cs="Times New Roman"/>
          <w:i/>
          <w:iCs/>
          <w:sz w:val="28"/>
          <w:szCs w:val="28"/>
        </w:rPr>
        <w:t>разработване и емпирично апробиране на интегративна поведенческа аналитична рамка, която обяснява връзката между ценовата среда, нейната интерпретация и формирането на инфлационни оценки</w:t>
      </w:r>
      <w:r w:rsidRPr="00475D6C">
        <w:rPr>
          <w:rFonts w:ascii="Times New Roman" w:eastAsia="Times New Roman" w:hAnsi="Times New Roman" w:cs="Times New Roman"/>
          <w:sz w:val="28"/>
          <w:szCs w:val="28"/>
        </w:rPr>
        <w:t xml:space="preserve">. Изведена е основната теза, че </w:t>
      </w:r>
      <w:r w:rsidRPr="00475D6C">
        <w:rPr>
          <w:rFonts w:ascii="Times New Roman" w:eastAsia="Times New Roman" w:hAnsi="Times New Roman" w:cs="Times New Roman"/>
          <w:i/>
          <w:iCs/>
          <w:sz w:val="28"/>
          <w:szCs w:val="28"/>
        </w:rPr>
        <w:t>инфлационните очаквания на домакинствата не са резултат от чиста рационалност, а се формират като поведенчески конструкт чрез последователни когнитивни операции, повлияни от информационната среда и институционалните ориентири</w:t>
      </w:r>
      <w:r w:rsidRPr="00475D6C">
        <w:rPr>
          <w:rFonts w:ascii="Times New Roman" w:eastAsia="Times New Roman" w:hAnsi="Times New Roman" w:cs="Times New Roman"/>
          <w:sz w:val="28"/>
          <w:szCs w:val="28"/>
        </w:rPr>
        <w:t xml:space="preserve">. В този контекст е формулирана и основната изследователска хипотеза. Представена е методологията на изследването, която съчетава теоретичен анализ, концептуална разработка и количествено емпирично изследване, базирано на национално представителни данни за </w:t>
      </w:r>
      <w:r w:rsidRPr="00475D6C">
        <w:rPr>
          <w:rFonts w:ascii="Times New Roman" w:eastAsia="Times New Roman" w:hAnsi="Times New Roman" w:cs="Times New Roman"/>
          <w:sz w:val="28"/>
          <w:szCs w:val="28"/>
        </w:rPr>
        <w:lastRenderedPageBreak/>
        <w:t>българските домакинства. Очертани са и основните ограничения на анализа. В заключение е представена логиката на изложението, организирана в последователността от теоретичен анализ към изграждане на поведенческа рамка и нейното емпирично изследване.</w:t>
      </w:r>
    </w:p>
    <w:p w14:paraId="4D2EDE25" w14:textId="3CAB18DB" w:rsidR="00FC5BC9" w:rsidRPr="00475D6C" w:rsidRDefault="005735A8">
      <w:pPr>
        <w:pStyle w:val="Heading3"/>
        <w:keepNext w:val="0"/>
        <w:keepLines w:val="0"/>
        <w:spacing w:line="360" w:lineRule="auto"/>
        <w:jc w:val="center"/>
        <w:rPr>
          <w:rFonts w:ascii="Times New Roman" w:eastAsia="Times New Roman" w:hAnsi="Times New Roman" w:cs="Times New Roman"/>
        </w:rPr>
      </w:pPr>
      <w:bookmarkStart w:id="5" w:name="_heading=h.j7jkntybiv52" w:colFirst="0" w:colLast="0"/>
      <w:bookmarkEnd w:id="5"/>
      <w:r w:rsidRPr="00475D6C">
        <w:rPr>
          <w:rFonts w:ascii="Times New Roman" w:eastAsia="Times New Roman" w:hAnsi="Times New Roman" w:cs="Times New Roman"/>
        </w:rPr>
        <w:t xml:space="preserve">ГЛАВА ПЪРВА: </w:t>
      </w:r>
      <w:bookmarkStart w:id="6" w:name="_heading=h.nmfcf2x5bcnz" w:colFirst="0" w:colLast="0"/>
      <w:bookmarkEnd w:id="6"/>
      <w:r w:rsidR="00F3126A" w:rsidRPr="00475D6C">
        <w:rPr>
          <w:rFonts w:ascii="Times New Roman" w:eastAsia="Times New Roman" w:hAnsi="Times New Roman" w:cs="Times New Roman"/>
        </w:rPr>
        <w:t>Теоретични подходи към инфлационните очаквания на домакинствата: обхват и ограничения</w:t>
      </w:r>
    </w:p>
    <w:p w14:paraId="1A0D0729"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В първа глава се изгражда теоретичната основа на изследването чрез систематичен анализ на инфлационния процес и ролята на инфлационните очаквания в макроикономическата теория. Акцентът е поставен върху границите на стандартните аналитични допускания при обяснението на поведението на домакинствата и върху необходимостта от тяхното преосмисляне в посока на поведенческа интерпретация.</w:t>
      </w:r>
    </w:p>
    <w:p w14:paraId="00D881F2"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1.1 - </w:t>
      </w:r>
      <w:r w:rsidRPr="00475D6C">
        <w:rPr>
          <w:rFonts w:ascii="Times New Roman" w:eastAsia="Times New Roman" w:hAnsi="Times New Roman" w:cs="Times New Roman"/>
          <w:b/>
          <w:bCs/>
          <w:i/>
          <w:iCs/>
          <w:sz w:val="28"/>
          <w:szCs w:val="28"/>
        </w:rPr>
        <w:t>Инфлационният процес</w:t>
      </w:r>
      <w:r w:rsidRPr="00475D6C">
        <w:rPr>
          <w:rFonts w:ascii="Times New Roman" w:eastAsia="Times New Roman" w:hAnsi="Times New Roman" w:cs="Times New Roman"/>
          <w:sz w:val="28"/>
          <w:szCs w:val="28"/>
        </w:rPr>
        <w:t xml:space="preserve">, инфлацията е концептуализирана като </w:t>
      </w:r>
      <w:r w:rsidRPr="00475D6C">
        <w:rPr>
          <w:rFonts w:ascii="Times New Roman" w:eastAsia="Times New Roman" w:hAnsi="Times New Roman" w:cs="Times New Roman"/>
          <w:i/>
          <w:iCs/>
          <w:sz w:val="28"/>
          <w:szCs w:val="28"/>
        </w:rPr>
        <w:t>динамичен процес, който структурира номиналната среда на икономическите решения</w:t>
      </w:r>
      <w:r w:rsidRPr="00475D6C">
        <w:rPr>
          <w:rFonts w:ascii="Times New Roman" w:eastAsia="Times New Roman" w:hAnsi="Times New Roman" w:cs="Times New Roman"/>
          <w:sz w:val="28"/>
          <w:szCs w:val="28"/>
        </w:rPr>
        <w:t xml:space="preserve">, а не само като агрегатен статистически показател. Изведено е разграничението между отделни ценови изменения и инфлация като устойчива тенденция, като се анализира ролята на устойчивостта, предвидимостта и вътрешната композиция на ценовата динамика. Аргументира се, че интерпретацията на тези характеристики определя дали ценовите изменения функционират като фон или като сигнал за икономическите агенти, което измества анализа от измерването към възприемането на инфлацията. В този смисъл инфлационните очаквания се явяват необходим посредник между наблюдаваната ценова динамика и икономическите решения, доколкото чрез тях текущите ценови сигнали се обобщават и превръщат в ориентир за бъдещето. </w:t>
      </w:r>
    </w:p>
    <w:p w14:paraId="0CFDD06C"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lastRenderedPageBreak/>
        <w:t xml:space="preserve">В параграф </w:t>
      </w:r>
      <w:r w:rsidRPr="00475D6C">
        <w:rPr>
          <w:rFonts w:ascii="Times New Roman" w:eastAsia="Times New Roman" w:hAnsi="Times New Roman" w:cs="Times New Roman"/>
          <w:b/>
          <w:bCs/>
          <w:sz w:val="28"/>
          <w:szCs w:val="28"/>
        </w:rPr>
        <w:t xml:space="preserve">1.2 - </w:t>
      </w:r>
      <w:r w:rsidRPr="00475D6C">
        <w:rPr>
          <w:rFonts w:ascii="Times New Roman" w:eastAsia="Times New Roman" w:hAnsi="Times New Roman" w:cs="Times New Roman"/>
          <w:b/>
          <w:bCs/>
          <w:i/>
          <w:iCs/>
          <w:sz w:val="28"/>
          <w:szCs w:val="28"/>
        </w:rPr>
        <w:t>Роля на инфлационните очаквания в макроикономическата теория: фон, механизъм, процес</w:t>
      </w:r>
      <w:r w:rsidRPr="00475D6C">
        <w:rPr>
          <w:rFonts w:ascii="Times New Roman" w:eastAsia="Times New Roman" w:hAnsi="Times New Roman" w:cs="Times New Roman"/>
          <w:sz w:val="28"/>
          <w:szCs w:val="28"/>
        </w:rPr>
        <w:t xml:space="preserve">, се проследява концептуалната еволюция на очакванията като аналитичен елемент. Те са разгледани последователно като имплицитен фон в ранните модели, като механизъм на предаване в рамките на адаптивните и рационалните очаквания и като процес, обусловен от номинални ригидности и информационни ограничения. Анализът показва, че с преминаването към по-сложни икономически среди очакванията престават да бъдат допускане и се превръщат в ключов фактор, който определя динамиката на инфлацията. В същото време се откроява, че дори при изрично моделиране на очакванията, техният процес на формиране остава недостатъчно специфициран, особено в условия на нееднородна информационна среда и ограничена рационалност. Това налага разглеждането им не само като механизъм, а като процес на селекция, интерпретация и обновяване на информация, което поставя основата за поведенческия подход, развит в следващите части на изследването. </w:t>
      </w:r>
    </w:p>
    <w:p w14:paraId="003178DC"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1.3 - </w:t>
      </w:r>
      <w:r w:rsidRPr="00475D6C">
        <w:rPr>
          <w:rFonts w:ascii="Times New Roman" w:eastAsia="Times New Roman" w:hAnsi="Times New Roman" w:cs="Times New Roman"/>
          <w:b/>
          <w:bCs/>
          <w:i/>
          <w:iCs/>
          <w:sz w:val="28"/>
          <w:szCs w:val="28"/>
        </w:rPr>
        <w:t>От очаквания към потребление: избор, изпълнимост и адаптиране</w:t>
      </w:r>
      <w:r w:rsidRPr="00475D6C">
        <w:rPr>
          <w:rFonts w:ascii="Times New Roman" w:eastAsia="Times New Roman" w:hAnsi="Times New Roman" w:cs="Times New Roman"/>
          <w:sz w:val="28"/>
          <w:szCs w:val="28"/>
        </w:rPr>
        <w:t xml:space="preserve">, фокусът се измества към микроикономическото равнище, като се изследва механизмът, чрез който инфлационните очаквания се превръщат в реални икономически решения на домакинствата. Анализът структурира тази трансмисия в три взаимосвързани звена - избор, изпълнимост и адаптиране. Аргументирано е, че очакванията се проявяват чрез междувремевия избор и структурата на разходите, като влияят не толкова върху общото равнище на потребление, колкото върху времето и разпределението на разходите. Тяхната реализация обаче е условна и зависи от ликвидността, дохода, богатството и достъпа до кредит, които определят дали намерението може да се превърне в действие. В допълнение реакциите на домакинствата се адаптират спрямо сигналната среда - трудовия пазар, фискалните и лихвените условия и </w:t>
      </w:r>
      <w:r w:rsidRPr="00475D6C">
        <w:rPr>
          <w:rFonts w:ascii="Times New Roman" w:eastAsia="Times New Roman" w:hAnsi="Times New Roman" w:cs="Times New Roman"/>
          <w:sz w:val="28"/>
          <w:szCs w:val="28"/>
        </w:rPr>
        <w:lastRenderedPageBreak/>
        <w:t xml:space="preserve">разпределението на ценовия натиск - които определят силата, хоризонта и посоката на поведението. В този смисъл инфлационните очаквания функционират като практическа когнитивна рамка, чрез която домакинствата интерпретират ценовата динамика и структурират своите решения в условия на несигурност. </w:t>
      </w:r>
    </w:p>
    <w:p w14:paraId="04F642B1"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1.4 - </w:t>
      </w:r>
      <w:r w:rsidRPr="00475D6C">
        <w:rPr>
          <w:rFonts w:ascii="Times New Roman" w:eastAsia="Times New Roman" w:hAnsi="Times New Roman" w:cs="Times New Roman"/>
          <w:b/>
          <w:bCs/>
          <w:i/>
          <w:iCs/>
          <w:sz w:val="28"/>
          <w:szCs w:val="28"/>
        </w:rPr>
        <w:t>Инфлационните очаквания като измерим обект: дефиниране, моделиране и свойства на разпределението,</w:t>
      </w:r>
      <w:r w:rsidRPr="00475D6C">
        <w:rPr>
          <w:rFonts w:ascii="Times New Roman" w:eastAsia="Times New Roman" w:hAnsi="Times New Roman" w:cs="Times New Roman"/>
          <w:sz w:val="28"/>
          <w:szCs w:val="28"/>
        </w:rPr>
        <w:t xml:space="preserve"> се анализират методологическите предизвикателства при тяхното дефиниране, моделиране и емпирично изследване. Инфлационните очаквания са разгледани като субективно формирани прогнози с оперативна роля в поведението на домакинствата, които свързват информационната среда с номиналните решения. Акцентът е поставен върху процеса, чрез който ценовите сигнали се превръщат в измерима числова оценка - чрез наблюдение на конкретни ценови изменения, тяхното обобщаване в представа за общ инфлационен темп и поддържането на тази оценка като номинален ориентир във времето. На тази основа са изведени основните емпирични свойства на инфлационните очаквания - хоризонт, степен на закотвяне и хетерогенност. Показано е, че агрегираните показатели не могат напълно да отразят индивидуалното възприятие за инфлацията, тъй като домакинствата се различават по ценови опит, информационен вход, правила за обобщаване и скорост на обновяване на оценките. Това налага очакванията да се анализират не само чрез средни стойности, а като разпределение от субективни оценки, което носи информация за несигурността, закотвянето и разсейването на номиналните ориентири. </w:t>
      </w:r>
    </w:p>
    <w:p w14:paraId="766922F4"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1.5 - </w:t>
      </w:r>
      <w:r w:rsidRPr="00475D6C">
        <w:rPr>
          <w:rFonts w:ascii="Times New Roman" w:eastAsia="Times New Roman" w:hAnsi="Times New Roman" w:cs="Times New Roman"/>
          <w:b/>
          <w:bCs/>
          <w:i/>
          <w:iCs/>
          <w:sz w:val="28"/>
          <w:szCs w:val="28"/>
        </w:rPr>
        <w:t>Дефицити на рационалните модели и преход към поведенческо моделиране на домакинствата,</w:t>
      </w:r>
      <w:r w:rsidRPr="00475D6C">
        <w:rPr>
          <w:rFonts w:ascii="Times New Roman" w:eastAsia="Times New Roman" w:hAnsi="Times New Roman" w:cs="Times New Roman"/>
          <w:sz w:val="28"/>
          <w:szCs w:val="28"/>
        </w:rPr>
        <w:t xml:space="preserve"> се извежда критичният преход в анализа, като се систематизират ограниченията на стандартните </w:t>
      </w:r>
      <w:r w:rsidRPr="00475D6C">
        <w:rPr>
          <w:rFonts w:ascii="Times New Roman" w:eastAsia="Times New Roman" w:hAnsi="Times New Roman" w:cs="Times New Roman"/>
          <w:sz w:val="28"/>
          <w:szCs w:val="28"/>
        </w:rPr>
        <w:lastRenderedPageBreak/>
        <w:t>макроикономически подходи при обяснението на инфлационните очаквания на домакинствата. Показано е, че допусканията за пълна рационалност и хомогенна интерпретация на информацията не съответстват на реалното поведение, което се характеризира с инертност, селективно внимание и зависимост от непосредствения ценови опит. В същото време се демонстрира, че рационалните модели предоставят описание на актуализацията на очакванията, но оставят неопределен процеса, чрез който икономическите агенти определят релевантността на наблюдаваната информация в условия на структурна неопределеност. Това налага разграничение между два последователни етапа - формиране на интерпретативна рамка чрез селекция и когнитивна обработка на сигналите, и последваща рационална адаптация на поведението. На тази основа се аргументира необходимостта от поведенческа перспектива, която разглежда инфлационните очаквания като резултат от процес на възприемане, интерпретация и адаптация, а не като директно отражение на икономическата реалност.</w:t>
      </w:r>
    </w:p>
    <w:p w14:paraId="3A6EE65F"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Първа глава показва, че инфлационните очаквания на домакинствата не са производна на агрегатно измерената инфлация, а резултат от интерпретация на непълна и нееднородна ценова информация. Те функционират като посредник между ценовата динамика и икономическото поведение, като трансмисията им се реализира чрез пренареждане на решенията във времето и структурата на потреблението, а не чрез пропорционални изменения на общия разход. Този процес е условен и хетерогенен, зависещ от финансовата изпълнимост и информационната среда, което поставя под въпрос допускането за представително очакване. В резултат инфлационната динамика се явява функция не само на икономическите импулси и политиката, но и на начина, по който домакинствата формират, интерпретират и адаптират своите очаквания. </w:t>
      </w:r>
    </w:p>
    <w:p w14:paraId="6AA60BE1" w14:textId="1A8DEF79" w:rsidR="00FC5BC9" w:rsidRPr="00475D6C" w:rsidRDefault="005735A8" w:rsidP="00475D6C">
      <w:pPr>
        <w:pStyle w:val="Heading3"/>
        <w:keepNext w:val="0"/>
        <w:keepLines w:val="0"/>
        <w:spacing w:before="0" w:after="0" w:line="360" w:lineRule="auto"/>
        <w:jc w:val="center"/>
        <w:rPr>
          <w:rFonts w:ascii="Times New Roman" w:eastAsia="Times New Roman" w:hAnsi="Times New Roman" w:cs="Times New Roman"/>
          <w:b w:val="0"/>
          <w:bCs w:val="0"/>
        </w:rPr>
      </w:pPr>
      <w:bookmarkStart w:id="7" w:name="_heading=h.t624w5r22vwz" w:colFirst="0" w:colLast="0"/>
      <w:bookmarkStart w:id="8" w:name="_heading=h.4an4leedjjm9" w:colFirst="0" w:colLast="0"/>
      <w:bookmarkEnd w:id="7"/>
      <w:bookmarkEnd w:id="8"/>
      <w:r w:rsidRPr="00475D6C">
        <w:rPr>
          <w:rFonts w:ascii="Times New Roman" w:eastAsia="Times New Roman" w:hAnsi="Times New Roman" w:cs="Times New Roman"/>
        </w:rPr>
        <w:lastRenderedPageBreak/>
        <w:t>ГЛАВА ВТОРА:</w:t>
      </w:r>
      <w:r w:rsidR="00475D6C" w:rsidRPr="00475D6C">
        <w:rPr>
          <w:rFonts w:ascii="Times New Roman" w:eastAsia="Times New Roman" w:hAnsi="Times New Roman" w:cs="Times New Roman"/>
          <w:lang w:val="bg-BG"/>
        </w:rPr>
        <w:t xml:space="preserve"> </w:t>
      </w:r>
      <w:r w:rsidR="00F3126A" w:rsidRPr="00475D6C">
        <w:rPr>
          <w:rFonts w:ascii="Times New Roman" w:eastAsia="Times New Roman" w:hAnsi="Times New Roman" w:cs="Times New Roman"/>
        </w:rPr>
        <w:t>Поведенческа рамка за формиране на инфлационните очаквания на домакинствата</w:t>
      </w:r>
    </w:p>
    <w:p w14:paraId="7F229598"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Във втора глава се разработва оригинална поведенческа аналитична рамка като концептуално продължение и отговор на ограниченията на стандартните макроикономически подходи. Изходната теза е, че инфлационните очаквания не възникват чрез пряко усвояване на информация, а се формират чрез процес на възприемане, интерпретация и последващо стабилизиране. На тази основа се изгражда интегративен модел, организиран около логиката „среда - превод - стабилизация“, който разкрива механизма, чрез който ценовите сигнали се преобразуват в относително устойчиви инфлационни оценки. </w:t>
      </w:r>
    </w:p>
    <w:p w14:paraId="6CD1E6C5"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2.1 - </w:t>
      </w:r>
      <w:r w:rsidRPr="00475D6C">
        <w:rPr>
          <w:rFonts w:ascii="Times New Roman" w:eastAsia="Times New Roman" w:hAnsi="Times New Roman" w:cs="Times New Roman"/>
          <w:b/>
          <w:bCs/>
          <w:i/>
          <w:iCs/>
          <w:sz w:val="28"/>
          <w:szCs w:val="28"/>
        </w:rPr>
        <w:t>Архитектура на избора: между сигналите и превода на инфлационните очаквания</w:t>
      </w:r>
      <w:r w:rsidRPr="00475D6C">
        <w:rPr>
          <w:rFonts w:ascii="Times New Roman" w:eastAsia="Times New Roman" w:hAnsi="Times New Roman" w:cs="Times New Roman"/>
          <w:sz w:val="28"/>
          <w:szCs w:val="28"/>
        </w:rPr>
        <w:t xml:space="preserve">, се въвежда началното условие на модела, като се проблематизира самото понятие за „налична“ информация. Показва се, че домакинствата не наблюдават агрегатната ценова динамика, а оперират със селективен и структурно обусловен набор от сигнали, формиран от честотата на потребление, видимостта на цените и ограниченията на вниманието. На тази основа се аргументира, че още на равнище информационна среда възниква систематично изкривяване, което предопределя начина, по който ценовите сигнали се редуцират, обобщават и превеждат в инфлационни оценки. Така архитектурата на избора се извежда като първичен механизъм, който структурира връзката между измерена и възприемана инфлация. </w:t>
      </w:r>
    </w:p>
    <w:p w14:paraId="4B8F0BD3"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2.2 - </w:t>
      </w:r>
      <w:r w:rsidRPr="00475D6C">
        <w:rPr>
          <w:rFonts w:ascii="Times New Roman" w:eastAsia="Times New Roman" w:hAnsi="Times New Roman" w:cs="Times New Roman"/>
          <w:b/>
          <w:bCs/>
          <w:i/>
          <w:iCs/>
          <w:sz w:val="28"/>
          <w:szCs w:val="28"/>
        </w:rPr>
        <w:t>Инструменти на информационния дизайн,</w:t>
      </w:r>
      <w:r w:rsidRPr="00475D6C">
        <w:rPr>
          <w:rFonts w:ascii="Times New Roman" w:eastAsia="Times New Roman" w:hAnsi="Times New Roman" w:cs="Times New Roman"/>
          <w:sz w:val="28"/>
          <w:szCs w:val="28"/>
        </w:rPr>
        <w:t xml:space="preserve"> анализът се премества от селекцията на сигнали към начина, по който те се структурират и придобиват значение чрез информационния дизайн. Показва се, че не само достъпът до информация, но и нейното форматиране - чрез стандарти по подразбиране, рамкиране, салиентност и подредба - определя кои сигнали се </w:t>
      </w:r>
      <w:r w:rsidRPr="00475D6C">
        <w:rPr>
          <w:rFonts w:ascii="Times New Roman" w:eastAsia="Times New Roman" w:hAnsi="Times New Roman" w:cs="Times New Roman"/>
          <w:sz w:val="28"/>
          <w:szCs w:val="28"/>
        </w:rPr>
        <w:lastRenderedPageBreak/>
        <w:t xml:space="preserve">възприемат като представителни и как се обобщават в инфлационни оценки. Така се аргументира, че интерпретацията не е неутрален процес, а резултат от систематично насочване на вниманието и сравненията. Това позволява да се изведе преходът от „какво се вижда“ към „какво се счита за релевантно“, като ключов механизъм във формирането на инфлационните очаквания. </w:t>
      </w:r>
    </w:p>
    <w:p w14:paraId="49C58C05"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2.3 - </w:t>
      </w:r>
      <w:r w:rsidRPr="00475D6C">
        <w:rPr>
          <w:rFonts w:ascii="Times New Roman" w:eastAsia="Times New Roman" w:hAnsi="Times New Roman" w:cs="Times New Roman"/>
          <w:b/>
          <w:bCs/>
          <w:i/>
          <w:iCs/>
          <w:sz w:val="28"/>
          <w:szCs w:val="28"/>
        </w:rPr>
        <w:t>Когнитивен превод: класически евристики</w:t>
      </w:r>
      <w:r w:rsidRPr="00475D6C">
        <w:rPr>
          <w:rFonts w:ascii="Times New Roman" w:eastAsia="Times New Roman" w:hAnsi="Times New Roman" w:cs="Times New Roman"/>
          <w:sz w:val="28"/>
          <w:szCs w:val="28"/>
        </w:rPr>
        <w:t xml:space="preserve"> се анализира механизмът на когнитивния превод, чрез който възприетите ценови сигнали се трансформират в числови инфлационни оценки. Показва се, че при ограничена информация домакинствата не извършват статистическа агрегация, а прилагат прилагат последователно действащи евристики - наличностна, на закотвяне и на представителността - които съответно определят входа на информацията, нейната числова организация и интерпретацията ѝ като процес. В резултат инфлационните очаквания се формират като когнитивно икономично, но систематично изкривено представяне на ценовия опит, чувствително към достъпността на наблюденията, наличните референтни стойности и активните интерпретационни шаблони, а не като случайна грешка.</w:t>
      </w:r>
    </w:p>
    <w:p w14:paraId="3A998B03"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2.4 - </w:t>
      </w:r>
      <w:r w:rsidRPr="00475D6C">
        <w:rPr>
          <w:rFonts w:ascii="Times New Roman" w:eastAsia="Times New Roman" w:hAnsi="Times New Roman" w:cs="Times New Roman"/>
          <w:b/>
          <w:bCs/>
          <w:i/>
          <w:iCs/>
          <w:sz w:val="28"/>
          <w:szCs w:val="28"/>
        </w:rPr>
        <w:t>Афективен превод: афектна евристика и обновяване на очакванията,</w:t>
      </w:r>
      <w:r w:rsidRPr="00475D6C">
        <w:rPr>
          <w:rFonts w:ascii="Times New Roman" w:eastAsia="Times New Roman" w:hAnsi="Times New Roman" w:cs="Times New Roman"/>
          <w:sz w:val="28"/>
          <w:szCs w:val="28"/>
        </w:rPr>
        <w:t xml:space="preserve"> се показва, че когнитивният превод е недостатъчен за обяснение на динамиката на инфлационните очаквания, като се въвежда афективното измерение като механизъм за калибриране на преценката при несигурност. Чрез афектната евристика емоционалната оценка на средата функционира като заместител на вероятностната преценка и определя асиметрията в обработката на сигналите. Неблагоприятните изменения се интегрират по-бързо, а нормализацията изисква по-продължително потвърждение. В резултат обновяването на очакванията става зависимо не само от информацията, а от възприемания риск, което води до инертност, по-</w:t>
      </w:r>
      <w:r w:rsidRPr="00475D6C">
        <w:rPr>
          <w:rFonts w:ascii="Times New Roman" w:eastAsia="Times New Roman" w:hAnsi="Times New Roman" w:cs="Times New Roman"/>
          <w:sz w:val="28"/>
          <w:szCs w:val="28"/>
        </w:rPr>
        <w:lastRenderedPageBreak/>
        <w:t xml:space="preserve">голяма разпръснатост и затруднена координация на оценките. Така афектът се извежда като ключов канал, чрез който несигурността се превръща в устойчив компонент на инфлационната динамика. </w:t>
      </w:r>
    </w:p>
    <w:p w14:paraId="2F76BAD9"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2.5 - </w:t>
      </w:r>
      <w:r w:rsidRPr="00475D6C">
        <w:rPr>
          <w:rFonts w:ascii="Times New Roman" w:eastAsia="Times New Roman" w:hAnsi="Times New Roman" w:cs="Times New Roman"/>
          <w:b/>
          <w:bCs/>
          <w:i/>
          <w:iCs/>
          <w:sz w:val="28"/>
          <w:szCs w:val="28"/>
        </w:rPr>
        <w:t>Стабилизация на ориентира: социални и структурни модератори,</w:t>
      </w:r>
      <w:r w:rsidRPr="00475D6C">
        <w:rPr>
          <w:rFonts w:ascii="Times New Roman" w:eastAsia="Times New Roman" w:hAnsi="Times New Roman" w:cs="Times New Roman"/>
          <w:sz w:val="28"/>
          <w:szCs w:val="28"/>
        </w:rPr>
        <w:t xml:space="preserve"> се разглежда следващият логически въпрос - защо въпреки вариативността инфлационните очаквания придобиват относителна устойчивост. Показано е, че стабилизацията не е резултат от точност, а от наличието на ориентири, които ограничават диапазона на интерпретация. Такива ориентири са индивидуални (структура на разходите, икономическа уязвимост), когнитивни (финансова компетентност) и социални (институционално доверие, медийна среда, социални взаимодействия). Те не действат изолирано, а пренастройват силата, посоката и устойчивостта на когнитивните и афективните механизми, чрез които се формират очакванията. Така се въвежда разбирането за инфлационните очаквания като социално и институционално вградени оценки, а не като изолирани индивидуални прогнози. По този начин стабилизацията се проявява като резултат от взаимодействието между когнитивни процеси и социална среда, при което сходни икономически сигнали могат да доведат както до координирани, така и до трайно разминаващи се оценки. Това означава, че устойчивостта на очакванията не отразява тяхната точност, а степента на съгласуваност около доминиращи ориентири. </w:t>
      </w:r>
    </w:p>
    <w:p w14:paraId="78EAD89E"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2.6 - </w:t>
      </w:r>
      <w:r w:rsidRPr="00475D6C">
        <w:rPr>
          <w:rFonts w:ascii="Times New Roman" w:eastAsia="Times New Roman" w:hAnsi="Times New Roman" w:cs="Times New Roman"/>
          <w:b/>
          <w:bCs/>
          <w:i/>
          <w:iCs/>
          <w:sz w:val="28"/>
          <w:szCs w:val="28"/>
        </w:rPr>
        <w:t>Интегративна рамка: среда - превод - стабилизация,</w:t>
      </w:r>
      <w:r w:rsidRPr="00475D6C">
        <w:rPr>
          <w:rFonts w:ascii="Times New Roman" w:eastAsia="Times New Roman" w:hAnsi="Times New Roman" w:cs="Times New Roman"/>
          <w:sz w:val="28"/>
          <w:szCs w:val="28"/>
        </w:rPr>
        <w:t xml:space="preserve"> се синтезира предложената концепция, като отделните механизми се обединяват в последователен и рекурсивен аналитичен модел, чиято структура е представена синтетично на Фигура 2.2. Предложената рамка показва, че формирането на инфлационните очаквания представлява процес на трансформация на ценовата информация, при който първоначалната </w:t>
      </w:r>
      <w:r w:rsidRPr="00475D6C">
        <w:rPr>
          <w:rFonts w:ascii="Times New Roman" w:eastAsia="Times New Roman" w:hAnsi="Times New Roman" w:cs="Times New Roman"/>
          <w:sz w:val="28"/>
          <w:szCs w:val="28"/>
        </w:rPr>
        <w:lastRenderedPageBreak/>
        <w:t xml:space="preserve">експозиция, когнитивната и афективната интерпретация и стабилизацията на оценките са взаимосвързани етапи. Този процес не е еднопосочен: формираните очаквания влияят обратно върху икономическото поведение и чрез него върху самата ценова среда, което придава на модела рекурсивен характер. По този начин се предлага цялостно обяснение на връзката между наблюдавана и възприемана инфлация, при което отклоненията не се третират като грешка, а като систематичен резултат от взаимодействието между информационен дизайн, когнитивна обработка и социален контекст. Това позволява инфлационните очаквания да се интерпретират като емпиричен отпечатък на конкретни механизми, а не като директно наблюдение на „вяра“ за бъдещата инфлация, което има пряко значение както за анализа, така и за провеждането на икономическа политика. </w:t>
      </w:r>
    </w:p>
    <w:p w14:paraId="648511AB" w14:textId="086073C7" w:rsidR="00FC5BC9" w:rsidRDefault="00FC5BC9" w:rsidP="00544859">
      <w:pPr>
        <w:spacing w:before="240" w:after="240" w:line="360" w:lineRule="auto"/>
        <w:jc w:val="center"/>
        <w:rPr>
          <w:rFonts w:ascii="Times New Roman" w:eastAsia="Times New Roman" w:hAnsi="Times New Roman" w:cs="Times New Roman"/>
          <w:noProof/>
          <w:sz w:val="24"/>
          <w:szCs w:val="24"/>
          <w:lang w:val="en-US"/>
        </w:rPr>
      </w:pPr>
    </w:p>
    <w:p w14:paraId="7746414D" w14:textId="77777777" w:rsidR="00A107B2" w:rsidRDefault="00A107B2" w:rsidP="00544859">
      <w:pPr>
        <w:spacing w:before="240" w:after="240" w:line="360" w:lineRule="auto"/>
        <w:jc w:val="center"/>
        <w:rPr>
          <w:rFonts w:ascii="Times New Roman" w:eastAsia="Times New Roman" w:hAnsi="Times New Roman" w:cs="Times New Roman"/>
          <w:sz w:val="24"/>
          <w:szCs w:val="24"/>
        </w:rPr>
      </w:pPr>
    </w:p>
    <w:p w14:paraId="318DC270" w14:textId="77777777" w:rsidR="00A107B2" w:rsidRDefault="00A107B2" w:rsidP="00A107B2">
      <w:pPr>
        <w:pStyle w:val="NormalWeb"/>
      </w:pPr>
      <w:r>
        <w:rPr>
          <w:noProof/>
        </w:rPr>
        <w:lastRenderedPageBreak/>
        <w:drawing>
          <wp:inline distT="0" distB="0" distL="0" distR="0" wp14:anchorId="26691D47" wp14:editId="14D81AA2">
            <wp:extent cx="6011472" cy="4563745"/>
            <wp:effectExtent l="0" t="0" r="8890" b="8255"/>
            <wp:docPr id="2" name="Picture 2" descr="C:\Users\Dell\Desktop\интегративен мо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интегративен модел.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24" r="3424"/>
                    <a:stretch/>
                  </pic:blipFill>
                  <pic:spPr bwMode="auto">
                    <a:xfrm>
                      <a:off x="0" y="0"/>
                      <a:ext cx="6027907" cy="4576222"/>
                    </a:xfrm>
                    <a:prstGeom prst="rect">
                      <a:avLst/>
                    </a:prstGeom>
                    <a:noFill/>
                    <a:ln>
                      <a:noFill/>
                    </a:ln>
                    <a:extLst>
                      <a:ext uri="{53640926-AAD7-44D8-BBD7-CCE9431645EC}">
                        <a14:shadowObscured xmlns:a14="http://schemas.microsoft.com/office/drawing/2010/main"/>
                      </a:ext>
                    </a:extLst>
                  </pic:spPr>
                </pic:pic>
              </a:graphicData>
            </a:graphic>
          </wp:inline>
        </w:drawing>
      </w:r>
    </w:p>
    <w:p w14:paraId="09E09DBF" w14:textId="68ACD797" w:rsidR="00FC5BC9" w:rsidRPr="00475D6C" w:rsidRDefault="00F3126A" w:rsidP="00475D6C">
      <w:pPr>
        <w:spacing w:after="0" w:line="360" w:lineRule="auto"/>
        <w:jc w:val="center"/>
        <w:rPr>
          <w:rFonts w:ascii="Times New Roman" w:eastAsia="Times New Roman" w:hAnsi="Times New Roman" w:cs="Times New Roman"/>
          <w:i/>
          <w:iCs/>
          <w:sz w:val="28"/>
          <w:szCs w:val="28"/>
        </w:rPr>
      </w:pPr>
      <w:r w:rsidRPr="00475D6C">
        <w:rPr>
          <w:rFonts w:ascii="Times New Roman" w:eastAsia="Times New Roman" w:hAnsi="Times New Roman" w:cs="Times New Roman"/>
          <w:b/>
          <w:bCs/>
          <w:sz w:val="28"/>
          <w:szCs w:val="28"/>
        </w:rPr>
        <w:t xml:space="preserve">Фиг. 2.2. </w:t>
      </w:r>
      <w:r w:rsidRPr="00475D6C">
        <w:rPr>
          <w:rFonts w:ascii="Times New Roman" w:eastAsia="Times New Roman" w:hAnsi="Times New Roman" w:cs="Times New Roman"/>
          <w:sz w:val="28"/>
          <w:szCs w:val="28"/>
        </w:rPr>
        <w:t>Интегративен модел на формирането на инфлационните очаквания: „ценова среда - превод - стабилизация“.</w:t>
      </w:r>
      <w:r w:rsidR="00475D6C" w:rsidRPr="00475D6C">
        <w:rPr>
          <w:rFonts w:ascii="Times New Roman" w:eastAsia="Times New Roman" w:hAnsi="Times New Roman" w:cs="Times New Roman"/>
          <w:sz w:val="28"/>
          <w:szCs w:val="28"/>
          <w:lang w:val="bg-BG"/>
        </w:rPr>
        <w:t xml:space="preserve"> </w:t>
      </w:r>
      <w:r w:rsidRPr="00475D6C">
        <w:rPr>
          <w:rFonts w:ascii="Times New Roman" w:eastAsia="Times New Roman" w:hAnsi="Times New Roman" w:cs="Times New Roman"/>
          <w:i/>
          <w:iCs/>
          <w:sz w:val="28"/>
          <w:szCs w:val="28"/>
        </w:rPr>
        <w:t>Източник: Собствена разработка</w:t>
      </w:r>
    </w:p>
    <w:p w14:paraId="53957F79"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2.7 - </w:t>
      </w:r>
      <w:r w:rsidRPr="00475D6C">
        <w:rPr>
          <w:rFonts w:ascii="Times New Roman" w:eastAsia="Times New Roman" w:hAnsi="Times New Roman" w:cs="Times New Roman"/>
          <w:b/>
          <w:bCs/>
          <w:i/>
          <w:iCs/>
          <w:sz w:val="28"/>
          <w:szCs w:val="28"/>
        </w:rPr>
        <w:t>Измерване и операционализация на рамката,</w:t>
      </w:r>
      <w:r w:rsidRPr="00475D6C">
        <w:rPr>
          <w:rFonts w:ascii="Times New Roman" w:eastAsia="Times New Roman" w:hAnsi="Times New Roman" w:cs="Times New Roman"/>
          <w:sz w:val="28"/>
          <w:szCs w:val="28"/>
        </w:rPr>
        <w:t xml:space="preserve"> се осъществява преходът от теоретично към емпирично равнище, като се дефинират измерими индикатори за всеки от елементите на рамката. Предложеният подход преосмисля стандартното третиране на инфлационните очаквания, като ги разглежда не като директно наблюдавана прогноза, а като резултат от междинни механизми, които могат да бъдат емпирично идентифицирани чрез съвкупност от индикатори. Операционализацията е модулна и процесно ориентирана, което позволява поетапно изследване на връзките между експозиция, когнитивен и афективен превод и стабилизация </w:t>
      </w:r>
      <w:r w:rsidRPr="00475D6C">
        <w:rPr>
          <w:rFonts w:ascii="Times New Roman" w:eastAsia="Times New Roman" w:hAnsi="Times New Roman" w:cs="Times New Roman"/>
          <w:sz w:val="28"/>
          <w:szCs w:val="28"/>
        </w:rPr>
        <w:lastRenderedPageBreak/>
        <w:t xml:space="preserve">на оценките. По този начин се осигурява по-прецизна интерпретация на хетерогенността и динамиката на инфлационните очаквания и се създава пряка връзка с анализа в трета глава. </w:t>
      </w:r>
    </w:p>
    <w:p w14:paraId="29482ED5"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b/>
          <w:bCs/>
          <w:sz w:val="28"/>
          <w:szCs w:val="28"/>
        </w:rPr>
        <w:t xml:space="preserve">В параграф 2.8 - </w:t>
      </w:r>
      <w:r w:rsidRPr="00475D6C">
        <w:rPr>
          <w:rFonts w:ascii="Times New Roman" w:eastAsia="Times New Roman" w:hAnsi="Times New Roman" w:cs="Times New Roman"/>
          <w:b/>
          <w:bCs/>
          <w:i/>
          <w:iCs/>
          <w:sz w:val="28"/>
          <w:szCs w:val="28"/>
        </w:rPr>
        <w:t>Критики и ограничения на поведенческия подход,</w:t>
      </w:r>
      <w:r w:rsidRPr="00475D6C">
        <w:rPr>
          <w:rFonts w:ascii="Times New Roman" w:eastAsia="Times New Roman" w:hAnsi="Times New Roman" w:cs="Times New Roman"/>
          <w:sz w:val="28"/>
          <w:szCs w:val="28"/>
        </w:rPr>
        <w:t xml:space="preserve"> се разглеждат границите на поведенческата перспектива при анализа на инфлационните очаквания. Показано е, че въпреки високата обяснителна сила на механизми като евристики, афект и социални влияния, те често се разглеждат изолирано, което води до фрагментирано описание на процеса и неяснота относно формирането на крайните оценки. Анализът преосмисля тези критики, като ги интерпретира не като слабости на подхода, а като следствие от липсата на интегрираща процесна рамка. Акцентът е поставен и върху методологическите предизвикателства, свързани с измерването на когнитивните и афективните процеси и с агрегирането на индивидуалните възприятия, като се показва, че макроикономическата значимост на поведенческите механизми зависи от тяхната корелация и социална координация. В този контекст предложената рамка преодолява фрагментацията, като интегрира поведенческите механизми в последователна аналитична логика и ги свързва с агрегатната динамика на инфлационните очаквания.  </w:t>
      </w:r>
    </w:p>
    <w:p w14:paraId="51396E1B"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обобщение, втора глава не просто систематизира поведенческите механизми на формиране на инфлационните очаквания, а ги интегрира в последователна процесна рамка, която проследява трансформацията от ценовите сигнали към стабилизирани оценки. Така очакванията се концептуализират като резултат от структурирано взаимодействие между информационна среда, когнитивен и афективен превод и социална стабилизация, а не като директна реакция на инфлационния темп. Тази </w:t>
      </w:r>
      <w:r w:rsidRPr="00475D6C">
        <w:rPr>
          <w:rFonts w:ascii="Times New Roman" w:eastAsia="Times New Roman" w:hAnsi="Times New Roman" w:cs="Times New Roman"/>
          <w:sz w:val="28"/>
          <w:szCs w:val="28"/>
        </w:rPr>
        <w:lastRenderedPageBreak/>
        <w:t xml:space="preserve">аналитична реконструкция създава ясна основа за операционализация на отделните канали и за тяхното емпирично изследване в трета глава. </w:t>
      </w:r>
    </w:p>
    <w:p w14:paraId="428D9036" w14:textId="522BC5F4" w:rsidR="00FC5BC9" w:rsidRPr="00475D6C" w:rsidRDefault="005735A8" w:rsidP="00475D6C">
      <w:pPr>
        <w:spacing w:after="0" w:line="360" w:lineRule="auto"/>
        <w:jc w:val="center"/>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ГЛАВА ТРЕТА:</w:t>
      </w:r>
      <w:r w:rsidR="00475D6C" w:rsidRPr="00475D6C">
        <w:rPr>
          <w:rFonts w:ascii="Times New Roman" w:eastAsia="Times New Roman" w:hAnsi="Times New Roman" w:cs="Times New Roman"/>
          <w:b/>
          <w:bCs/>
          <w:sz w:val="28"/>
          <w:szCs w:val="28"/>
          <w:lang w:val="bg-BG"/>
        </w:rPr>
        <w:t xml:space="preserve"> </w:t>
      </w:r>
      <w:r w:rsidR="00F3126A" w:rsidRPr="00475D6C">
        <w:rPr>
          <w:rFonts w:ascii="Times New Roman" w:eastAsia="Times New Roman" w:hAnsi="Times New Roman" w:cs="Times New Roman"/>
          <w:b/>
          <w:bCs/>
          <w:sz w:val="28"/>
          <w:szCs w:val="28"/>
        </w:rPr>
        <w:t>Емпирично изследване на формирането на инфлационните очаквания на българските домакинства</w:t>
      </w:r>
    </w:p>
    <w:p w14:paraId="4BE235D8"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Трета глава емпирично изследва как инфлационните очаквания се формират и поддържат, като проследява прехода от експозиция към ценови сигнали към тяхното обобщаване и стабилизиране в числови оценки. Анализът следва последователна логика, при която всяка стъпка разкрива ограниченията на предходната и насочва към следващата. В този процес се изяснява ролята на публичната комуникация като условие за това макроикономическата информация да придобие поведенческо значение. </w:t>
      </w:r>
    </w:p>
    <w:p w14:paraId="40386B39"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3.1 - </w:t>
      </w:r>
      <w:r w:rsidRPr="00475D6C">
        <w:rPr>
          <w:rFonts w:ascii="Times New Roman" w:eastAsia="Times New Roman" w:hAnsi="Times New Roman" w:cs="Times New Roman"/>
          <w:b/>
          <w:bCs/>
          <w:i/>
          <w:iCs/>
          <w:sz w:val="28"/>
          <w:szCs w:val="28"/>
        </w:rPr>
        <w:t>България като емпиричен контекст: ценова среда и институционална динамика,</w:t>
      </w:r>
      <w:r w:rsidRPr="00475D6C">
        <w:rPr>
          <w:rFonts w:ascii="Times New Roman" w:eastAsia="Times New Roman" w:hAnsi="Times New Roman" w:cs="Times New Roman"/>
          <w:sz w:val="28"/>
          <w:szCs w:val="28"/>
        </w:rPr>
        <w:t xml:space="preserve"> се обосновава изборът на България като среда, в която формирането на инфлационните очаквания може да бъде наблюдавано с повишена яснота. Това произтича от съчетанието на продължителна инфлационна динамика, концентрация на потреблението в силно салиентни категории и засилено обществено внимание към цените в контекста на предстоящия преход към еврото. В такава среда ценовите сигнали са едновременно по-видими и по-значими за домакинствата, което прави процеса на формиране на очакванията по-отчетлив. Това позволява анализът да излезе отвъд наблюдението на техните нива и да се насочи към механизмите, чрез които те се изграждат и поддържат. Така българският случай функционира като аналитично благоприятен контекст, в който инфлационните очаквания могат да бъдат разгледани като процес, а не само като резултат.  </w:t>
      </w:r>
    </w:p>
    <w:p w14:paraId="4F7635AF"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3.2 - </w:t>
      </w:r>
      <w:r w:rsidRPr="00475D6C">
        <w:rPr>
          <w:rFonts w:ascii="Times New Roman" w:eastAsia="Times New Roman" w:hAnsi="Times New Roman" w:cs="Times New Roman"/>
          <w:b/>
          <w:bCs/>
          <w:i/>
          <w:iCs/>
          <w:sz w:val="28"/>
          <w:szCs w:val="28"/>
        </w:rPr>
        <w:t>Методологичен дизайн и аналитичен подход,</w:t>
      </w:r>
      <w:r w:rsidRPr="00475D6C">
        <w:rPr>
          <w:rFonts w:ascii="Times New Roman" w:eastAsia="Times New Roman" w:hAnsi="Times New Roman" w:cs="Times New Roman"/>
          <w:sz w:val="28"/>
          <w:szCs w:val="28"/>
        </w:rPr>
        <w:t xml:space="preserve"> се представя емпиричната стратегия, чрез която интегративната рамка се превежда в измерим анализ. Използвани са данни от омнибус изследване на </w:t>
      </w:r>
      <w:r w:rsidRPr="00475D6C">
        <w:rPr>
          <w:rFonts w:ascii="Times New Roman" w:eastAsia="Times New Roman" w:hAnsi="Times New Roman" w:cs="Times New Roman"/>
          <w:sz w:val="28"/>
          <w:szCs w:val="28"/>
        </w:rPr>
        <w:lastRenderedPageBreak/>
        <w:t>Европейската комисия (вълна юни 2025 г.), реализирано от LOGO Market Research и допълнено с авторски поведенчески модул (проект № ДНП-КС24-02-BAINFLEXPT), което позволява едновременно наблюдение на стандартни макроикономически индикатори и поведенчески механизми. Аналитичният подход е асоциативен и се основава предимно на непараметрични методи, съобразени с ординалния характер на данните, като целта е да се идентифицират статистически значими зависимости и тяхната посока, без да се правят причинно-следствени заключения. Национално представителната извадка от 1008 респонденти осигурява надеждна емпирична база за последователно изследване на етапите „среда - превод - стабилизация“.</w:t>
      </w:r>
    </w:p>
    <w:p w14:paraId="04F65B76"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същото време анализът представлява структуриран, но частичен емпиричен тест на рамката: ограниченията на напречно-срезовите данни, използването на прокси индикатори и контекстуалната специфика на България ограничават обхвата на обобщение и не позволяват директна идентификация на причинни механизми. Именно в тази рамка резултатите следва да се интерпретират като емпирични проявления на процеса на формиране на очаквания, а не като универсални параметри. Това позиционира изследването като междинен етап между теоретична спецификация и бъдещи изследвания, базирани на панелни данни, експериментални дизайни и по-директно измерване на когнитивните и социалните канали. </w:t>
      </w:r>
    </w:p>
    <w:p w14:paraId="7A1F6C05"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3.3 - </w:t>
      </w:r>
      <w:r w:rsidRPr="00475D6C">
        <w:rPr>
          <w:rFonts w:ascii="Times New Roman" w:eastAsia="Times New Roman" w:hAnsi="Times New Roman" w:cs="Times New Roman"/>
          <w:b/>
          <w:bCs/>
          <w:i/>
          <w:iCs/>
          <w:sz w:val="28"/>
          <w:szCs w:val="28"/>
        </w:rPr>
        <w:t>Сигнална среда: експозиция към ценови сигнали и структуриране на инфлационните оценки,</w:t>
      </w:r>
      <w:r w:rsidRPr="00475D6C">
        <w:rPr>
          <w:rFonts w:ascii="Times New Roman" w:eastAsia="Times New Roman" w:hAnsi="Times New Roman" w:cs="Times New Roman"/>
          <w:sz w:val="28"/>
          <w:szCs w:val="28"/>
        </w:rPr>
        <w:t xml:space="preserve"> се анализира първият етап от интегративната рамка чрез два индикатора: самооценката „често забелязвам поскъпване“ като мярка за наличност на ценови сигнали и позиционирането спрямо референтната стойност от 10% като индикатор за чувствителност към числова котва. Резултатите показват, че по-интензивният ежедневен ценови контакт и по-високият дял на салиентни разходи са свързани както с по-често </w:t>
      </w:r>
      <w:r w:rsidRPr="00475D6C">
        <w:rPr>
          <w:rFonts w:ascii="Times New Roman" w:eastAsia="Times New Roman" w:hAnsi="Times New Roman" w:cs="Times New Roman"/>
          <w:sz w:val="28"/>
          <w:szCs w:val="28"/>
        </w:rPr>
        <w:lastRenderedPageBreak/>
        <w:t>„забелязване“ на поскъпване, така и с по-голяма вероятност оценките да надхвърлят 10%, което подсказва, че натрупаният ценови опит измества ролята на външната котва. Ролята на информационните източници е различна: при оценката на честотата доверието действа като филтър на ценовите епизоди, докато при числовото позициониране е свързано с по-голяма склонност да се приемат по-високи стойности. Това показва, че сигналната среда не само влияе върху това колко често инфлацията се възприема, а и върху това какви стойности изглеждат „реалистични“ за бъдещето. По този начин първата фаза от рамката получава емпирична подкрепа: средата не формира директно очакванията, а задава границите, в които те впоследствие се изграждат.</w:t>
      </w:r>
    </w:p>
    <w:p w14:paraId="227FF7D3"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3.4 - </w:t>
      </w:r>
      <w:r w:rsidRPr="00475D6C">
        <w:rPr>
          <w:rFonts w:ascii="Times New Roman" w:eastAsia="Times New Roman" w:hAnsi="Times New Roman" w:cs="Times New Roman"/>
          <w:b/>
          <w:bCs/>
          <w:i/>
          <w:iCs/>
          <w:sz w:val="28"/>
          <w:szCs w:val="28"/>
        </w:rPr>
        <w:t>Операции на превода: интерпретация, афективна рамка и числов превод,</w:t>
      </w:r>
      <w:r w:rsidRPr="00475D6C">
        <w:rPr>
          <w:rFonts w:ascii="Times New Roman" w:eastAsia="Times New Roman" w:hAnsi="Times New Roman" w:cs="Times New Roman"/>
          <w:sz w:val="28"/>
          <w:szCs w:val="28"/>
        </w:rPr>
        <w:t xml:space="preserve"> анализът преминава от структурата на сигналната среда към вътрешната обработка на ценовия опит. Двата индикатора - оценката „често забелязване“ и позиционирането спрямо котвата от 10% - се интерпретират съответно като междинен резултат и краен изход от процеса на превод. Резултатите показват последователна зависимост: по-високата оценка за поскъпването в миналото, по-негативните макроикономически очаквания и по-силният афект са асоциирани както с по-висока вероятност за „често забелязване“, така и с по-високи числови оценки и по-често позициониране над 10%. Връзката между честотната оценка и числовото позициониране е статистически значима и еднопосочна, което показва, че числовият избор не представлява самостоятелна корекция спрямо котвата, а продължение на вече формиран вътрешен ориентир.</w:t>
      </w:r>
    </w:p>
    <w:p w14:paraId="225324CF"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този смисъл вторият етап дава ясен отговор на въпроса „как“: инфлационните очаквания не възникват директно като числа, а се формират чрез процес на интерпретация и редукция, при който честотната оценка функционира като ключов междинен механизъм. Котвата от 10% не определя </w:t>
      </w:r>
      <w:r w:rsidRPr="00475D6C">
        <w:rPr>
          <w:rFonts w:ascii="Times New Roman" w:eastAsia="Times New Roman" w:hAnsi="Times New Roman" w:cs="Times New Roman"/>
          <w:sz w:val="28"/>
          <w:szCs w:val="28"/>
        </w:rPr>
        <w:lastRenderedPageBreak/>
        <w:t>самостоятелно числовото позициониране, а структурира изразяването на вече съществуващи оценки. Така основният извод е, че числовите инфлационни очаквания отразяват не толкова външния ориентир, колкото начина, по който ценовият опит е интерпретиран и обобщен. Това поставя въпроса не как се формират оценките, а при какви условия те се стабилизират.</w:t>
      </w:r>
    </w:p>
    <w:p w14:paraId="6AB7D3CA"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параграф </w:t>
      </w:r>
      <w:r w:rsidRPr="00475D6C">
        <w:rPr>
          <w:rFonts w:ascii="Times New Roman" w:eastAsia="Times New Roman" w:hAnsi="Times New Roman" w:cs="Times New Roman"/>
          <w:b/>
          <w:bCs/>
          <w:sz w:val="28"/>
          <w:szCs w:val="28"/>
        </w:rPr>
        <w:t xml:space="preserve">3.5 - </w:t>
      </w:r>
      <w:r w:rsidRPr="00475D6C">
        <w:rPr>
          <w:rFonts w:ascii="Times New Roman" w:eastAsia="Times New Roman" w:hAnsi="Times New Roman" w:cs="Times New Roman"/>
          <w:b/>
          <w:bCs/>
          <w:i/>
          <w:iCs/>
          <w:sz w:val="28"/>
          <w:szCs w:val="28"/>
        </w:rPr>
        <w:t>Стабилизация на инфлационните оценки: ресурси, уязвимост и институционални ориентири</w:t>
      </w:r>
      <w:r w:rsidRPr="00475D6C">
        <w:rPr>
          <w:rFonts w:ascii="Times New Roman" w:eastAsia="Times New Roman" w:hAnsi="Times New Roman" w:cs="Times New Roman"/>
          <w:sz w:val="28"/>
          <w:szCs w:val="28"/>
        </w:rPr>
        <w:t>, се анализира третият етап от рамката, при който фокусът се измества от формирането към устойчивостта на вече изградените възприятия и числови оценки. Чрез индикаторите „често забелязване“ и позиционирането спрямо котвата от 10% се изследва с кои фактори е свързана тяхната инертност. Резултатите показват ясно разграничение между ресурси и интерпретация на риск. Когнитивните характеристики и доходът не са свързани с устойчивостта нито на честотната оценка, нито на числовото позициониране. Обратно, субективната икономическа уязвимост и доверието в официални институции последователно се асоциират както с по-интензивно възприятие на ценовите промени, така и с по-високи числови оценки и по-ниска чувствителност към котвата. Ролята на институциите се проявява като механизъм на калибриране: по-високото доверие е свързано с по-голяма вероятност референтната стойност да функционира като ограничителен ориентир, докато при ниско доверие личният ценови опит доминира и поддържа по-високи оценки.</w:t>
      </w:r>
    </w:p>
    <w:p w14:paraId="2944EE3C"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Така третият етап показва, че устойчивостта на инфлационните очаквания не се определя от обективните ресурси на домакинствата, а от начина, по който те оценяват риска и от легитимността на външните информационни ориентири. Това означава, че веднъж формирани, инфлационните оценки се поддържат като интерпретационни режими, а не като резултат от непрекъсната актуализация спрямо нова информация.</w:t>
      </w:r>
    </w:p>
    <w:p w14:paraId="54744551"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lastRenderedPageBreak/>
        <w:t xml:space="preserve">В параграф </w:t>
      </w:r>
      <w:r w:rsidRPr="00475D6C">
        <w:rPr>
          <w:rFonts w:ascii="Times New Roman" w:eastAsia="Times New Roman" w:hAnsi="Times New Roman" w:cs="Times New Roman"/>
          <w:b/>
          <w:bCs/>
          <w:sz w:val="28"/>
          <w:szCs w:val="28"/>
        </w:rPr>
        <w:t>3.6. - „Публична комуникация и инфлационни очаквания в условия на ограничена рационалност“,</w:t>
      </w:r>
      <w:r w:rsidRPr="00475D6C">
        <w:rPr>
          <w:rFonts w:ascii="Times New Roman" w:eastAsia="Times New Roman" w:hAnsi="Times New Roman" w:cs="Times New Roman"/>
          <w:sz w:val="28"/>
          <w:szCs w:val="28"/>
        </w:rPr>
        <w:t xml:space="preserve"> комуникацията се разглежда като част от средата, в която инфлационната информация се разпознава и интерпретира от домакинствата, а не като външен инструмент за директно влияние. Резултатите показват, че агрегатните показатели не навлизат пряко в инфлационните очаквания, а се възприемат през наблюдавания ценови опит. Това означава, че ефективната комуникация изисква съпоставимост с ежедневните ценови категории, както и представяне на информацията във формати, които съответстват на реалното формиране на оценките - диапазони, сценарии и ясно обозначени допускания. Същевременно ефектът на комуникацията е условен. При висока икономическа несигурност и ниско институционално доверие инфлационните оценки изпълняват и предпазна функция, което ограничава възможността външната информация да ги коригира. В тези условия ролята на комуникацията не е да променя директно очакванията, а да създава условия, при които макроикономическата информация може да бъде разпозната като релевантен ориентир. Така публичната комуникация не действа като самостоятелен инструмент, а като част от трансмисионния механизъм на паричната политика - тя определя при какви условия нейните сигнали достигат до домакинствата и придобиват поведенческо значение.</w:t>
      </w:r>
    </w:p>
    <w:p w14:paraId="0B94263F"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В обобщение, трета глава емпирично валидира интегративната рамка „среда - превод - стабилизация“, като показва, че инфлационните очаквания не възникват като пряко отражение на агрегатната динамика, а се формират чрез последователни поведенчески операции. Резултатите очертават две различни, но свързани логики. От една страна, възприятието за инфлация се изгражда чрез ежедневния ценови опит и честотата на срещите с ценови промени. От друга, числовите оценки се оформят в контекста на риск, несигурност и </w:t>
      </w:r>
      <w:r w:rsidRPr="00475D6C">
        <w:rPr>
          <w:rFonts w:ascii="Times New Roman" w:eastAsia="Times New Roman" w:hAnsi="Times New Roman" w:cs="Times New Roman"/>
          <w:sz w:val="28"/>
          <w:szCs w:val="28"/>
        </w:rPr>
        <w:lastRenderedPageBreak/>
        <w:t>доверие в институционални ориентири. Именно това разграничение обяснява защо сходен ценови опит може да води до различни числови очаквания. Анализът показва също, че устойчивостта на тези оценки не зависи от когнитивни ресурси като образование или числова компетентност, а е по-тясно свързана със субективната икономическа уязвимост и доверието в институциите. В този смисъл инфлационните очаквания функционират не само като оценка, но и като предпазен ориентир в условия на несигурност.</w:t>
      </w:r>
    </w:p>
    <w:p w14:paraId="4D8BEEFD"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В крайна сметка резултатите показват, че инфлационните очаквания са продукт на процес на интерпретация и стабилизация, а не опит за точно измерване на инфлацията. Това променя и начина, по който следва да се мисли ролята на публичната комуникация - не като инструмент за директна корекция, а като условие, при което макроикономическата информация може да бъде разпозната и използвана като релевантен ориентир.</w:t>
      </w:r>
    </w:p>
    <w:p w14:paraId="4CA6E3D0" w14:textId="77777777" w:rsidR="00FC5BC9" w:rsidRPr="00475D6C" w:rsidRDefault="00F3126A" w:rsidP="00475D6C">
      <w:pPr>
        <w:spacing w:after="0" w:line="360" w:lineRule="auto"/>
        <w:jc w:val="center"/>
        <w:rPr>
          <w:rFonts w:ascii="Times New Roman" w:eastAsia="Times New Roman" w:hAnsi="Times New Roman" w:cs="Times New Roman"/>
          <w:b/>
          <w:bCs/>
          <w:caps/>
          <w:sz w:val="28"/>
          <w:szCs w:val="28"/>
        </w:rPr>
      </w:pPr>
      <w:r w:rsidRPr="00475D6C">
        <w:rPr>
          <w:rFonts w:ascii="Times New Roman" w:eastAsia="Times New Roman" w:hAnsi="Times New Roman" w:cs="Times New Roman"/>
          <w:b/>
          <w:bCs/>
          <w:caps/>
          <w:sz w:val="28"/>
          <w:szCs w:val="28"/>
        </w:rPr>
        <w:t>Заключение</w:t>
      </w:r>
    </w:p>
    <w:p w14:paraId="397E864B"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Заключението на дисертационния труд потвърждава високата актуалност на изследваната проблематика, свързана с формирането на инфлационните очаквания в условия на засилена икономическа несигурност. На основата на задълбочен теоретичен анализ и последователно проведено емпирично изследване се демонстрира изпълнението на поставената цел и се защитава изведената изследователска теза. </w:t>
      </w:r>
    </w:p>
    <w:p w14:paraId="45F2BC05"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Дисертационният труд показва, че инфлационните очаквания не могат да бъдат сведени до агрегирана макроикономическа величина, а следва да се разглеждат като поведенчески конструкт, формиран чрез последователни механизми на селекция, интерпретация и стабилизация на ценовата информация. Получените резултати разкриват, че възприеманата инфлация, нейното числово изразяване и устойчивостта на оценките се определят от </w:t>
      </w:r>
      <w:r w:rsidRPr="00475D6C">
        <w:rPr>
          <w:rFonts w:ascii="Times New Roman" w:eastAsia="Times New Roman" w:hAnsi="Times New Roman" w:cs="Times New Roman"/>
          <w:sz w:val="28"/>
          <w:szCs w:val="28"/>
        </w:rPr>
        <w:lastRenderedPageBreak/>
        <w:t>различни фактори, което обяснява както тяхната хетерогенност, така и устойчивите разминавания между възприятия и измерена инфлация.</w:t>
      </w:r>
    </w:p>
    <w:p w14:paraId="0C23DE51"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С разработването и емпиричното валидиране на рамката „среда - превод - стабилизация“ трудът предлага оригинален принос, който свързва макроикономическия анализ с поведенческите механизми на микроравнище и показва, че различията в инфлационните очаквания произтичат не просто от различна информация, а от различни позиции в самия процес на нейното обработване.</w:t>
      </w:r>
    </w:p>
    <w:p w14:paraId="47F45C7F" w14:textId="668AAEF2"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В заключение се утвърждава разбирането, че инфлационните очаквания са резултат не просто от наблюдение на цените, а от тяхното осмисляне в условия на несигурност. Това преместване на фокуса - от числата към процеса на тяхното формиране - има пряко значение за икономическата теория и политика, тъй като показва, че управлението на инфлационните очаквания изисква не само точна информация, а съвместимост с начина, по който тя се възприема и интерпретира от домакинствата.</w:t>
      </w:r>
      <w:r w:rsidR="00475D6C" w:rsidRPr="00475D6C">
        <w:rPr>
          <w:rFonts w:ascii="Times New Roman" w:eastAsia="Times New Roman" w:hAnsi="Times New Roman" w:cs="Times New Roman"/>
          <w:sz w:val="28"/>
          <w:szCs w:val="28"/>
          <w:lang w:val="bg-BG"/>
        </w:rPr>
        <w:t xml:space="preserve"> </w:t>
      </w:r>
      <w:r w:rsidRPr="00475D6C">
        <w:rPr>
          <w:rFonts w:ascii="Times New Roman" w:eastAsia="Times New Roman" w:hAnsi="Times New Roman" w:cs="Times New Roman"/>
          <w:sz w:val="28"/>
          <w:szCs w:val="28"/>
        </w:rPr>
        <w:t>Така основният извод на изследването е, че инфлационните очаквания не са просто индикатор за икономическа реалност, а самостоятелен поведенчески механизъм, чрез който тази реалност придобива значение за икономическите агенти.</w:t>
      </w:r>
    </w:p>
    <w:p w14:paraId="048D4404" w14:textId="77777777" w:rsidR="00FC5BC9" w:rsidRDefault="00FC5BC9" w:rsidP="00475D6C">
      <w:pPr>
        <w:spacing w:after="0" w:line="360" w:lineRule="auto"/>
        <w:ind w:firstLine="720"/>
        <w:jc w:val="both"/>
        <w:rPr>
          <w:rFonts w:ascii="Times New Roman" w:eastAsia="Times New Roman" w:hAnsi="Times New Roman" w:cs="Times New Roman"/>
          <w:sz w:val="24"/>
          <w:szCs w:val="24"/>
        </w:rPr>
      </w:pPr>
    </w:p>
    <w:p w14:paraId="178E8939" w14:textId="77777777" w:rsidR="00544859" w:rsidRDefault="0054485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A76F2B1" w14:textId="45EFB20D"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lastRenderedPageBreak/>
        <w:t>IV. СПРАВКА ЗА ОСНОВНИТЕ ПРИНОСНИ МОМЕНТИ В ДИСЕРТАЦИОННИЯ ТРУД</w:t>
      </w:r>
    </w:p>
    <w:p w14:paraId="004954B5" w14:textId="63CF6D29" w:rsidR="00877F6F" w:rsidRPr="00002B8E" w:rsidRDefault="00002B8E" w:rsidP="00002B8E">
      <w:pPr>
        <w:shd w:val="clear" w:color="auto" w:fill="FFFFFF"/>
        <w:spacing w:after="0" w:line="360" w:lineRule="auto"/>
        <w:jc w:val="both"/>
        <w:rPr>
          <w:rFonts w:ascii="Times New Roman" w:eastAsia="Times New Roman" w:hAnsi="Times New Roman" w:cs="Times New Roman"/>
          <w:color w:val="222222"/>
          <w:sz w:val="28"/>
          <w:szCs w:val="24"/>
          <w:lang w:val="bg-BG"/>
        </w:rPr>
      </w:pPr>
      <w:r w:rsidRPr="00002B8E">
        <w:rPr>
          <w:rFonts w:ascii="Times New Roman" w:eastAsia="Times New Roman" w:hAnsi="Times New Roman" w:cs="Times New Roman"/>
          <w:b/>
          <w:bCs/>
          <w:color w:val="222222"/>
          <w:sz w:val="28"/>
          <w:szCs w:val="24"/>
          <w:lang w:val="bg-BG"/>
        </w:rPr>
        <w:t>1)</w:t>
      </w:r>
      <w:r>
        <w:rPr>
          <w:rFonts w:ascii="Times New Roman" w:eastAsia="Times New Roman" w:hAnsi="Times New Roman" w:cs="Times New Roman"/>
          <w:b/>
          <w:bCs/>
          <w:color w:val="222222"/>
          <w:sz w:val="28"/>
          <w:szCs w:val="24"/>
          <w:lang w:val="bg-BG"/>
        </w:rPr>
        <w:t xml:space="preserve"> </w:t>
      </w:r>
      <w:r w:rsidR="00877F6F" w:rsidRPr="00002B8E">
        <w:rPr>
          <w:rFonts w:ascii="Times New Roman" w:eastAsia="Times New Roman" w:hAnsi="Times New Roman" w:cs="Times New Roman"/>
          <w:b/>
          <w:bCs/>
          <w:color w:val="222222"/>
          <w:sz w:val="28"/>
          <w:szCs w:val="24"/>
          <w:lang w:val="bg-BG"/>
        </w:rPr>
        <w:t>Конструиране на интегративна поведенческа рамка „среда - превод - стабилизация“: </w:t>
      </w:r>
      <w:r w:rsidR="00877F6F" w:rsidRPr="00002B8E">
        <w:rPr>
          <w:rFonts w:ascii="Times New Roman" w:eastAsia="Times New Roman" w:hAnsi="Times New Roman" w:cs="Times New Roman"/>
          <w:color w:val="222222"/>
          <w:sz w:val="28"/>
          <w:szCs w:val="24"/>
          <w:lang w:val="bg-BG"/>
        </w:rPr>
        <w:t>Разработена е авторска интегративна рамка „среда - превод - стабилизация", която преодолява фрагментарността в изследванията и концептуализира формирането на инфлационните очаквания на домакинствата като последователен поведенчески процес, а не като непосредствено отражение на отчетената (наблюдавана) инфлация. Рамката структурно разграничава три когнитивни операции: селекция на ценови сигнали, тяхната интерпретация и стабилизация на оценката, като ги интегрира в единна аналитична схема.</w:t>
      </w:r>
    </w:p>
    <w:p w14:paraId="7E9616C8" w14:textId="77777777" w:rsidR="00002B8E" w:rsidRPr="00002B8E" w:rsidRDefault="00002B8E" w:rsidP="00002B8E">
      <w:pPr>
        <w:rPr>
          <w:lang w:val="bg-BG"/>
        </w:rPr>
      </w:pPr>
    </w:p>
    <w:p w14:paraId="18436685" w14:textId="12105630" w:rsidR="00877F6F" w:rsidRDefault="00877F6F"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r w:rsidRPr="00475D6C">
        <w:rPr>
          <w:rFonts w:ascii="Times New Roman" w:eastAsia="Times New Roman" w:hAnsi="Times New Roman" w:cs="Times New Roman"/>
          <w:b/>
          <w:bCs/>
          <w:color w:val="222222"/>
          <w:sz w:val="28"/>
          <w:szCs w:val="24"/>
          <w:lang w:val="bg-BG"/>
        </w:rPr>
        <w:t>2) Емпирично доказване на разграничението между инфлационно възприятие и инфлационно очакване</w:t>
      </w:r>
      <w:r w:rsidRPr="00475D6C">
        <w:rPr>
          <w:rFonts w:ascii="Times New Roman" w:eastAsia="Times New Roman" w:hAnsi="Times New Roman" w:cs="Times New Roman"/>
          <w:color w:val="222222"/>
          <w:sz w:val="28"/>
          <w:szCs w:val="24"/>
          <w:lang w:val="bg-BG"/>
        </w:rPr>
        <w:t>: Чрез национално представително проучване е доказано, че субективното възприемане на текущата ценова динамика и очакванията за бъдеща инфлация представляват два различни когнитивни механизма. Първият е резултат от наличностната евристика, която агрегира непосредствено преживени ценови епизоди, а вторият - от ефекта на закотвяне, който структурира несигурността чрез числов ориентир и превежда вече формираното инфлационно възприятие в конкретен оценъчен диапазон.</w:t>
      </w:r>
    </w:p>
    <w:p w14:paraId="17C738B8" w14:textId="77777777" w:rsidR="00002B8E" w:rsidRPr="00475D6C" w:rsidRDefault="00002B8E"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p>
    <w:p w14:paraId="6CC0A9B9" w14:textId="2C4C2105" w:rsidR="00877F6F" w:rsidRDefault="00877F6F"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r w:rsidRPr="00475D6C">
        <w:rPr>
          <w:rFonts w:ascii="Times New Roman" w:eastAsia="Times New Roman" w:hAnsi="Times New Roman" w:cs="Times New Roman"/>
          <w:b/>
          <w:bCs/>
          <w:color w:val="222222"/>
          <w:sz w:val="28"/>
          <w:szCs w:val="24"/>
          <w:lang w:val="bg-BG"/>
        </w:rPr>
        <w:t>3) Реконцептуализация на хетерогенността на очакванията като структурен феномен</w:t>
      </w:r>
      <w:r w:rsidRPr="00475D6C">
        <w:rPr>
          <w:rFonts w:ascii="Times New Roman" w:eastAsia="Times New Roman" w:hAnsi="Times New Roman" w:cs="Times New Roman"/>
          <w:color w:val="222222"/>
          <w:sz w:val="28"/>
          <w:szCs w:val="24"/>
          <w:lang w:val="bg-BG"/>
        </w:rPr>
        <w:t xml:space="preserve">: Дисертационният труд доказва, че разминаването между измерената инфлация и възприятията на домакинствата не е просто статистическа грешка, а систематичен резултат от взаимодействието между информационен дизайн и социален контекст. По този начин изследването аргументирано оборва допускането за съществуване на едно хомогенно </w:t>
      </w:r>
      <w:r w:rsidRPr="00475D6C">
        <w:rPr>
          <w:rFonts w:ascii="Times New Roman" w:eastAsia="Times New Roman" w:hAnsi="Times New Roman" w:cs="Times New Roman"/>
          <w:color w:val="222222"/>
          <w:sz w:val="28"/>
          <w:szCs w:val="24"/>
          <w:lang w:val="bg-BG"/>
        </w:rPr>
        <w:lastRenderedPageBreak/>
        <w:t>„представително инфлационно очакване“, използвано в стандартните макроикономически модели.</w:t>
      </w:r>
    </w:p>
    <w:p w14:paraId="7F9B8891" w14:textId="77777777" w:rsidR="00002B8E" w:rsidRPr="00475D6C" w:rsidRDefault="00002B8E"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p>
    <w:p w14:paraId="363C0943" w14:textId="77777777" w:rsidR="00877F6F" w:rsidRPr="00475D6C" w:rsidRDefault="00877F6F"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r w:rsidRPr="00475D6C">
        <w:rPr>
          <w:rFonts w:ascii="Times New Roman" w:eastAsia="Times New Roman" w:hAnsi="Times New Roman" w:cs="Times New Roman"/>
          <w:b/>
          <w:bCs/>
          <w:color w:val="222222"/>
          <w:sz w:val="28"/>
          <w:szCs w:val="24"/>
          <w:lang w:val="bg-BG"/>
        </w:rPr>
        <w:t>4) Извеждане на „архитектурата на избора“ като инструмент за публична комуникация</w:t>
      </w:r>
      <w:r w:rsidRPr="00475D6C">
        <w:rPr>
          <w:rFonts w:ascii="Times New Roman" w:eastAsia="Times New Roman" w:hAnsi="Times New Roman" w:cs="Times New Roman"/>
          <w:color w:val="222222"/>
          <w:sz w:val="28"/>
          <w:szCs w:val="24"/>
          <w:lang w:val="bg-BG"/>
        </w:rPr>
        <w:t>: Идентифицирана е ролята на информационния дизайн в публичната комуникация, чиято цел не е да променя директно очакванията, а да създаде условия макроикономическата информация да стане релевантен ориентир за домакинствата. Установено е, че институционалното доверие не е фон, а оперативно условие за ефективността на комуникацията на паричната политика. При ниско доверие официалните числови ориентири не функционират като граница на индивидуалните оценки, а личният ценови опит доминира безпрепятствено. Оттук следва, че институциите не могат да управляват инфлационните очаквания единствено чрез точност на данните. Легитимността на институционалния източник е необходимо условие за ефективността на комуникацията.</w:t>
      </w:r>
    </w:p>
    <w:p w14:paraId="383C2057" w14:textId="77777777" w:rsidR="005735A8" w:rsidRDefault="005735A8" w:rsidP="00475D6C">
      <w:pPr>
        <w:spacing w:after="0" w:line="360" w:lineRule="auto"/>
        <w:jc w:val="both"/>
        <w:rPr>
          <w:rFonts w:ascii="Times New Roman" w:eastAsia="Times New Roman" w:hAnsi="Times New Roman" w:cs="Times New Roman"/>
          <w:b/>
          <w:bCs/>
          <w:sz w:val="24"/>
          <w:szCs w:val="24"/>
        </w:rPr>
      </w:pPr>
    </w:p>
    <w:p w14:paraId="0A24F2B7" w14:textId="77777777" w:rsidR="00544859" w:rsidRDefault="0054485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5B16AA4" w14:textId="523303C8"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lastRenderedPageBreak/>
        <w:t>V. ПУБЛИКАЦИИ ПО ДИСЕРТАЦИОННИЯ ТРУД</w:t>
      </w:r>
    </w:p>
    <w:p w14:paraId="325508E5"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Научни статии:</w:t>
      </w:r>
    </w:p>
    <w:p w14:paraId="034301A7" w14:textId="77777777" w:rsidR="00FC5BC9" w:rsidRPr="00475D6C" w:rsidRDefault="00F3126A" w:rsidP="00475D6C">
      <w:pPr>
        <w:numPr>
          <w:ilvl w:val="0"/>
          <w:numId w:val="1"/>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(2025). </w:t>
      </w:r>
      <w:r w:rsidRPr="00475D6C">
        <w:rPr>
          <w:rFonts w:ascii="Times New Roman" w:eastAsia="Times New Roman" w:hAnsi="Times New Roman" w:cs="Times New Roman"/>
          <w:i/>
          <w:iCs/>
          <w:sz w:val="28"/>
          <w:szCs w:val="28"/>
        </w:rPr>
        <w:t>Macro and micro pessimism as behavioral precursors of price anxiety and inflation expectations: Evidence from Bulgaria’s pre-euro period.</w:t>
      </w:r>
      <w:r w:rsidRPr="00475D6C">
        <w:rPr>
          <w:rFonts w:ascii="Times New Roman" w:eastAsia="Times New Roman" w:hAnsi="Times New Roman" w:cs="Times New Roman"/>
          <w:sz w:val="28"/>
          <w:szCs w:val="28"/>
        </w:rPr>
        <w:t xml:space="preserve"> </w:t>
      </w:r>
      <w:r w:rsidRPr="00475D6C">
        <w:rPr>
          <w:rFonts w:ascii="Times New Roman" w:eastAsia="Times New Roman" w:hAnsi="Times New Roman" w:cs="Times New Roman"/>
          <w:i/>
          <w:iCs/>
          <w:sz w:val="28"/>
          <w:szCs w:val="28"/>
        </w:rPr>
        <w:t>Business &amp; Management Compass, 69</w:t>
      </w:r>
      <w:r w:rsidRPr="00475D6C">
        <w:rPr>
          <w:rFonts w:ascii="Times New Roman" w:eastAsia="Times New Roman" w:hAnsi="Times New Roman" w:cs="Times New Roman"/>
          <w:sz w:val="28"/>
          <w:szCs w:val="28"/>
        </w:rPr>
        <w:t xml:space="preserve">(4), 5–17. https://doi.org/10.56065/d381cw29 </w:t>
      </w:r>
    </w:p>
    <w:p w14:paraId="3CA30995" w14:textId="77777777" w:rsidR="00FC5BC9" w:rsidRPr="00475D6C" w:rsidRDefault="00F3126A" w:rsidP="00475D6C">
      <w:pPr>
        <w:numPr>
          <w:ilvl w:val="0"/>
          <w:numId w:val="1"/>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(2025). Availability heuristic and inflation perceptions in pre-euro Bulgaria: Micro-evidence on price-change salience among Bulgarian households. </w:t>
      </w:r>
      <w:r w:rsidRPr="00475D6C">
        <w:rPr>
          <w:rFonts w:ascii="Times New Roman" w:eastAsia="Times New Roman" w:hAnsi="Times New Roman" w:cs="Times New Roman"/>
          <w:i/>
          <w:iCs/>
          <w:sz w:val="28"/>
          <w:szCs w:val="28"/>
        </w:rPr>
        <w:t>Economics and Computer Science</w:t>
      </w:r>
      <w:r w:rsidRPr="00475D6C">
        <w:rPr>
          <w:rFonts w:ascii="Times New Roman" w:eastAsia="Times New Roman" w:hAnsi="Times New Roman" w:cs="Times New Roman"/>
          <w:sz w:val="28"/>
          <w:szCs w:val="28"/>
        </w:rPr>
        <w:t xml:space="preserve">, (2), 53–62. Publishing house “Knowledge and Business,” Varna, Bulgaria. </w:t>
      </w:r>
    </w:p>
    <w:p w14:paraId="55B36F86" w14:textId="7777777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Научни доклади:</w:t>
      </w:r>
    </w:p>
    <w:p w14:paraId="5FCA42B7" w14:textId="18DA1B7D" w:rsidR="00FC5BC9" w:rsidRPr="00475D6C" w:rsidRDefault="00F3126A" w:rsidP="00475D6C">
      <w:pPr>
        <w:numPr>
          <w:ilvl w:val="0"/>
          <w:numId w:val="2"/>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(2025). </w:t>
      </w:r>
      <w:r w:rsidRPr="00475D6C">
        <w:rPr>
          <w:rFonts w:ascii="Times New Roman" w:eastAsia="Times New Roman" w:hAnsi="Times New Roman" w:cs="Times New Roman"/>
          <w:i/>
          <w:iCs/>
          <w:sz w:val="28"/>
          <w:szCs w:val="28"/>
        </w:rPr>
        <w:t>Households’ inflation expectations: A behavioural lens for measurement and policy communication.</w:t>
      </w:r>
      <w:r w:rsidRPr="00475D6C">
        <w:rPr>
          <w:rFonts w:ascii="Times New Roman" w:eastAsia="Times New Roman" w:hAnsi="Times New Roman" w:cs="Times New Roman"/>
          <w:sz w:val="28"/>
          <w:szCs w:val="28"/>
        </w:rPr>
        <w:t xml:space="preserve"> In </w:t>
      </w:r>
      <w:r w:rsidRPr="00475D6C">
        <w:rPr>
          <w:rFonts w:ascii="Times New Roman" w:eastAsia="Times New Roman" w:hAnsi="Times New Roman" w:cs="Times New Roman"/>
          <w:i/>
          <w:iCs/>
          <w:sz w:val="28"/>
          <w:szCs w:val="28"/>
        </w:rPr>
        <w:t>Proceedings of the 11th International Conference on Economics, Business &amp; Management (ICEBM)</w:t>
      </w:r>
      <w:r w:rsidRPr="00475D6C">
        <w:rPr>
          <w:rFonts w:ascii="Times New Roman" w:eastAsia="Times New Roman" w:hAnsi="Times New Roman" w:cs="Times New Roman"/>
          <w:sz w:val="28"/>
          <w:szCs w:val="28"/>
        </w:rPr>
        <w:t xml:space="preserve"> (pp. 694–702). University of Economics - Varna.</w:t>
      </w:r>
      <w:hyperlink r:id="rId9">
        <w:r w:rsidRPr="00475D6C">
          <w:rPr>
            <w:rFonts w:ascii="Times New Roman" w:eastAsia="Times New Roman" w:hAnsi="Times New Roman" w:cs="Times New Roman"/>
            <w:sz w:val="28"/>
            <w:szCs w:val="28"/>
          </w:rPr>
          <w:t xml:space="preserve"> </w:t>
        </w:r>
      </w:hyperlink>
      <w:r w:rsidRPr="00002B8E">
        <w:rPr>
          <w:rFonts w:ascii="Times New Roman" w:eastAsia="Times New Roman" w:hAnsi="Times New Roman" w:cs="Times New Roman"/>
          <w:sz w:val="28"/>
          <w:szCs w:val="28"/>
        </w:rPr>
        <w:t>https://doi.org/10.56065/ICEBM2025.694</w:t>
      </w:r>
      <w:r w:rsidRPr="00475D6C">
        <w:rPr>
          <w:rFonts w:ascii="Times New Roman" w:eastAsia="Times New Roman" w:hAnsi="Times New Roman" w:cs="Times New Roman"/>
          <w:sz w:val="28"/>
          <w:szCs w:val="28"/>
        </w:rPr>
        <w:t xml:space="preserve"> </w:t>
      </w:r>
    </w:p>
    <w:p w14:paraId="6D6E5AEB" w14:textId="77777777" w:rsidR="00FC5BC9" w:rsidRPr="00475D6C" w:rsidRDefault="00F3126A" w:rsidP="00475D6C">
      <w:pPr>
        <w:numPr>
          <w:ilvl w:val="0"/>
          <w:numId w:val="2"/>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(2023). </w:t>
      </w:r>
      <w:r w:rsidRPr="00475D6C">
        <w:rPr>
          <w:rFonts w:ascii="Times New Roman" w:eastAsia="Times New Roman" w:hAnsi="Times New Roman" w:cs="Times New Roman"/>
          <w:i/>
          <w:iCs/>
          <w:sz w:val="28"/>
          <w:szCs w:val="28"/>
        </w:rPr>
        <w:t>Evolution of expectations models in economic thought.</w:t>
      </w:r>
      <w:r w:rsidRPr="00475D6C">
        <w:rPr>
          <w:rFonts w:ascii="Times New Roman" w:eastAsia="Times New Roman" w:hAnsi="Times New Roman" w:cs="Times New Roman"/>
          <w:sz w:val="28"/>
          <w:szCs w:val="28"/>
        </w:rPr>
        <w:t xml:space="preserve"> In </w:t>
      </w:r>
      <w:r w:rsidRPr="00475D6C">
        <w:rPr>
          <w:rFonts w:ascii="Times New Roman" w:eastAsia="Times New Roman" w:hAnsi="Times New Roman" w:cs="Times New Roman"/>
          <w:i/>
          <w:iCs/>
          <w:sz w:val="28"/>
          <w:szCs w:val="28"/>
        </w:rPr>
        <w:t>Seventh International Scientific Conference “Business and Regional Development” (BRD2023).</w:t>
      </w:r>
      <w:r w:rsidRPr="00475D6C">
        <w:rPr>
          <w:rFonts w:ascii="Times New Roman" w:eastAsia="Times New Roman" w:hAnsi="Times New Roman" w:cs="Times New Roman"/>
          <w:sz w:val="28"/>
          <w:szCs w:val="28"/>
        </w:rPr>
        <w:t xml:space="preserve"> </w:t>
      </w:r>
      <w:r w:rsidRPr="00475D6C">
        <w:rPr>
          <w:rFonts w:ascii="Times New Roman" w:eastAsia="Times New Roman" w:hAnsi="Times New Roman" w:cs="Times New Roman"/>
          <w:i/>
          <w:iCs/>
          <w:sz w:val="28"/>
          <w:szCs w:val="28"/>
        </w:rPr>
        <w:t>SHS Web of Conferences, 176</w:t>
      </w:r>
      <w:r w:rsidRPr="00475D6C">
        <w:rPr>
          <w:rFonts w:ascii="Times New Roman" w:eastAsia="Times New Roman" w:hAnsi="Times New Roman" w:cs="Times New Roman"/>
          <w:sz w:val="28"/>
          <w:szCs w:val="28"/>
        </w:rPr>
        <w:t>, Article 04009.</w:t>
      </w:r>
      <w:hyperlink r:id="rId10">
        <w:r w:rsidRPr="00475D6C">
          <w:rPr>
            <w:rFonts w:ascii="Times New Roman" w:eastAsia="Times New Roman" w:hAnsi="Times New Roman" w:cs="Times New Roman"/>
            <w:sz w:val="28"/>
            <w:szCs w:val="28"/>
          </w:rPr>
          <w:t xml:space="preserve"> </w:t>
        </w:r>
      </w:hyperlink>
      <w:hyperlink r:id="rId11">
        <w:r w:rsidRPr="00002B8E">
          <w:rPr>
            <w:rFonts w:ascii="Times New Roman" w:eastAsia="Times New Roman" w:hAnsi="Times New Roman" w:cs="Times New Roman"/>
            <w:sz w:val="28"/>
            <w:szCs w:val="28"/>
          </w:rPr>
          <w:t>https://doi.org/10.1051/shsconf/202317604009</w:t>
        </w:r>
      </w:hyperlink>
    </w:p>
    <w:p w14:paraId="3DA2CD8D" w14:textId="77777777" w:rsidR="00FC5BC9" w:rsidRPr="00475D6C" w:rsidRDefault="00FC5BC9" w:rsidP="00475D6C">
      <w:pPr>
        <w:spacing w:after="0" w:line="360" w:lineRule="auto"/>
        <w:jc w:val="both"/>
        <w:rPr>
          <w:rFonts w:ascii="Times New Roman" w:eastAsia="Times New Roman" w:hAnsi="Times New Roman" w:cs="Times New Roman"/>
          <w:color w:val="1155CC"/>
          <w:sz w:val="28"/>
          <w:szCs w:val="28"/>
          <w:u w:val="single"/>
        </w:rPr>
      </w:pPr>
    </w:p>
    <w:p w14:paraId="39C88524" w14:textId="77777777" w:rsidR="00544859" w:rsidRDefault="0054485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9B46E85" w14:textId="46800EE7"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lastRenderedPageBreak/>
        <w:t>VI. ДЕКЛАРАЦИЯ ЗА ОРИГИНАЛНОСТ</w:t>
      </w:r>
    </w:p>
    <w:p w14:paraId="0A00A50F" w14:textId="77777777" w:rsidR="00FC5BC9" w:rsidRPr="00475D6C" w:rsidRDefault="00F3126A" w:rsidP="00475D6C">
      <w:pPr>
        <w:spacing w:after="0" w:line="360" w:lineRule="auto"/>
        <w:ind w:firstLine="720"/>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Декларирам, че настоящият дисертационен труд е изцяло авторски продукт и при неговото разработване не са използвани в нарушение на авторските им права чужди публикации и разработки. </w:t>
      </w:r>
    </w:p>
    <w:p w14:paraId="55C8E187" w14:textId="77777777" w:rsidR="00FC5BC9" w:rsidRDefault="00FC5BC9">
      <w:pPr>
        <w:spacing w:line="360" w:lineRule="auto"/>
        <w:jc w:val="both"/>
        <w:rPr>
          <w:rFonts w:ascii="Times New Roman" w:eastAsia="Times New Roman" w:hAnsi="Times New Roman" w:cs="Times New Roman"/>
          <w:sz w:val="24"/>
          <w:szCs w:val="24"/>
        </w:rPr>
      </w:pPr>
    </w:p>
    <w:sectPr w:rsidR="00FC5BC9" w:rsidSect="00475D6C">
      <w:footerReference w:type="default" r:id="rId12"/>
      <w:pgSz w:w="12240" w:h="15840"/>
      <w:pgMar w:top="1418" w:right="1418" w:bottom="1418"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3C66C" w14:textId="77777777" w:rsidR="000D5B77" w:rsidRDefault="000D5B77" w:rsidP="00BC068D">
      <w:pPr>
        <w:spacing w:after="0" w:line="240" w:lineRule="auto"/>
      </w:pPr>
      <w:r>
        <w:separator/>
      </w:r>
    </w:p>
  </w:endnote>
  <w:endnote w:type="continuationSeparator" w:id="0">
    <w:p w14:paraId="7568A1E1" w14:textId="77777777" w:rsidR="000D5B77" w:rsidRDefault="000D5B77" w:rsidP="00BC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2BE6C78-E88E-4A76-90D3-AD8078E79B0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9C34EC12-6723-4D20-8D20-037B377A5BFA}"/>
    <w:embedBold r:id="rId3" w:fontKey="{1ED506B7-42D0-48A3-BDDB-B17BE4538E89}"/>
  </w:font>
  <w:font w:name="Georgia">
    <w:panose1 w:val="02040502050405020303"/>
    <w:charset w:val="CC"/>
    <w:family w:val="roman"/>
    <w:pitch w:val="variable"/>
    <w:sig w:usb0="00000287" w:usb1="00000000" w:usb2="00000000" w:usb3="00000000" w:csb0="0000009F" w:csb1="00000000"/>
    <w:embedItalic r:id="rId4" w:fontKey="{900118CE-C1FC-4955-A8BD-AD9C942CF93E}"/>
  </w:font>
  <w:font w:name="Cambria">
    <w:panose1 w:val="02040503050406030204"/>
    <w:charset w:val="CC"/>
    <w:family w:val="roman"/>
    <w:pitch w:val="variable"/>
    <w:sig w:usb0="E00006FF" w:usb1="420024FF" w:usb2="02000000" w:usb3="00000000" w:csb0="0000019F" w:csb1="00000000"/>
    <w:embedRegular r:id="rId5" w:fontKey="{25374A5B-F06C-4E39-8D90-B13CE5BE531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546833"/>
      <w:docPartObj>
        <w:docPartGallery w:val="Page Numbers (Bottom of Page)"/>
        <w:docPartUnique/>
      </w:docPartObj>
    </w:sdtPr>
    <w:sdtEndPr>
      <w:rPr>
        <w:noProof/>
      </w:rPr>
    </w:sdtEndPr>
    <w:sdtContent>
      <w:p w14:paraId="09BEBE19" w14:textId="0FCD3101" w:rsidR="00BC068D" w:rsidRDefault="00BC068D">
        <w:pPr>
          <w:pStyle w:val="Footer"/>
          <w:jc w:val="right"/>
        </w:pPr>
        <w:r>
          <w:fldChar w:fldCharType="begin"/>
        </w:r>
        <w:r>
          <w:instrText xml:space="preserve"> PAGE   \* MERGEFORMAT </w:instrText>
        </w:r>
        <w:r>
          <w:fldChar w:fldCharType="separate"/>
        </w:r>
        <w:r w:rsidR="00124A38">
          <w:rPr>
            <w:noProof/>
          </w:rPr>
          <w:t>2</w:t>
        </w:r>
        <w:r>
          <w:rPr>
            <w:noProof/>
          </w:rPr>
          <w:fldChar w:fldCharType="end"/>
        </w:r>
      </w:p>
    </w:sdtContent>
  </w:sdt>
  <w:p w14:paraId="758F715D" w14:textId="77777777" w:rsidR="00BC068D" w:rsidRDefault="00BC06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16D1A" w14:textId="77777777" w:rsidR="000D5B77" w:rsidRDefault="000D5B77" w:rsidP="00BC068D">
      <w:pPr>
        <w:spacing w:after="0" w:line="240" w:lineRule="auto"/>
      </w:pPr>
      <w:r>
        <w:separator/>
      </w:r>
    </w:p>
  </w:footnote>
  <w:footnote w:type="continuationSeparator" w:id="0">
    <w:p w14:paraId="3F4C5CDA" w14:textId="77777777" w:rsidR="000D5B77" w:rsidRDefault="000D5B77" w:rsidP="00BC0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26EB3"/>
    <w:multiLevelType w:val="multilevel"/>
    <w:tmpl w:val="502C0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8A3BD5"/>
    <w:multiLevelType w:val="multilevel"/>
    <w:tmpl w:val="4970D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592D09"/>
    <w:multiLevelType w:val="multilevel"/>
    <w:tmpl w:val="E730B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E417A7"/>
    <w:multiLevelType w:val="multilevel"/>
    <w:tmpl w:val="4B320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D600550"/>
    <w:multiLevelType w:val="multilevel"/>
    <w:tmpl w:val="050E44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4070FA7"/>
    <w:multiLevelType w:val="hybridMultilevel"/>
    <w:tmpl w:val="7830662E"/>
    <w:lvl w:ilvl="0" w:tplc="EBBAC4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BC9"/>
    <w:rsid w:val="00002B8E"/>
    <w:rsid w:val="000D5B77"/>
    <w:rsid w:val="00124A38"/>
    <w:rsid w:val="0030744C"/>
    <w:rsid w:val="00475D6C"/>
    <w:rsid w:val="00544859"/>
    <w:rsid w:val="005735A8"/>
    <w:rsid w:val="0061629F"/>
    <w:rsid w:val="00877F6F"/>
    <w:rsid w:val="00A107B2"/>
    <w:rsid w:val="00BC068D"/>
    <w:rsid w:val="00F3126A"/>
    <w:rsid w:val="00F50FF8"/>
    <w:rsid w:val="00F6788A"/>
    <w:rsid w:val="00FC5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354F3"/>
  <w15:docId w15:val="{24458CB6-0A3E-4696-B839-EC40556D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BC068D"/>
    <w:pPr>
      <w:tabs>
        <w:tab w:val="center" w:pos="4703"/>
        <w:tab w:val="right" w:pos="9406"/>
      </w:tabs>
      <w:spacing w:after="0" w:line="240" w:lineRule="auto"/>
    </w:pPr>
  </w:style>
  <w:style w:type="character" w:customStyle="1" w:styleId="HeaderChar">
    <w:name w:val="Header Char"/>
    <w:basedOn w:val="DefaultParagraphFont"/>
    <w:link w:val="Header"/>
    <w:uiPriority w:val="99"/>
    <w:rsid w:val="00BC068D"/>
  </w:style>
  <w:style w:type="paragraph" w:styleId="Footer">
    <w:name w:val="footer"/>
    <w:basedOn w:val="Normal"/>
    <w:link w:val="FooterChar"/>
    <w:uiPriority w:val="99"/>
    <w:unhideWhenUsed/>
    <w:rsid w:val="00BC068D"/>
    <w:pPr>
      <w:tabs>
        <w:tab w:val="center" w:pos="4703"/>
        <w:tab w:val="right" w:pos="9406"/>
      </w:tabs>
      <w:spacing w:after="0" w:line="240" w:lineRule="auto"/>
    </w:pPr>
  </w:style>
  <w:style w:type="character" w:customStyle="1" w:styleId="FooterChar">
    <w:name w:val="Footer Char"/>
    <w:basedOn w:val="DefaultParagraphFont"/>
    <w:link w:val="Footer"/>
    <w:uiPriority w:val="99"/>
    <w:rsid w:val="00BC068D"/>
  </w:style>
  <w:style w:type="paragraph" w:styleId="ListParagraph">
    <w:name w:val="List Paragraph"/>
    <w:basedOn w:val="Normal"/>
    <w:uiPriority w:val="34"/>
    <w:qFormat/>
    <w:rsid w:val="00002B8E"/>
    <w:pPr>
      <w:ind w:left="720"/>
      <w:contextualSpacing/>
    </w:pPr>
  </w:style>
  <w:style w:type="paragraph" w:styleId="NormalWeb">
    <w:name w:val="Normal (Web)"/>
    <w:basedOn w:val="Normal"/>
    <w:uiPriority w:val="99"/>
    <w:semiHidden/>
    <w:unhideWhenUsed/>
    <w:rsid w:val="00A107B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893952">
      <w:bodyDiv w:val="1"/>
      <w:marLeft w:val="0"/>
      <w:marRight w:val="0"/>
      <w:marTop w:val="0"/>
      <w:marBottom w:val="0"/>
      <w:divBdr>
        <w:top w:val="none" w:sz="0" w:space="0" w:color="auto"/>
        <w:left w:val="none" w:sz="0" w:space="0" w:color="auto"/>
        <w:bottom w:val="none" w:sz="0" w:space="0" w:color="auto"/>
        <w:right w:val="none" w:sz="0" w:space="0" w:color="auto"/>
      </w:divBdr>
    </w:div>
    <w:div w:id="880828645">
      <w:bodyDiv w:val="1"/>
      <w:marLeft w:val="0"/>
      <w:marRight w:val="0"/>
      <w:marTop w:val="0"/>
      <w:marBottom w:val="0"/>
      <w:divBdr>
        <w:top w:val="none" w:sz="0" w:space="0" w:color="auto"/>
        <w:left w:val="none" w:sz="0" w:space="0" w:color="auto"/>
        <w:bottom w:val="none" w:sz="0" w:space="0" w:color="auto"/>
        <w:right w:val="none" w:sz="0" w:space="0" w:color="auto"/>
      </w:divBdr>
      <w:divsChild>
        <w:div w:id="688143702">
          <w:marLeft w:val="0"/>
          <w:marRight w:val="0"/>
          <w:marTop w:val="0"/>
          <w:marBottom w:val="0"/>
          <w:divBdr>
            <w:top w:val="none" w:sz="0" w:space="0" w:color="auto"/>
            <w:left w:val="none" w:sz="0" w:space="0" w:color="auto"/>
            <w:bottom w:val="none" w:sz="0" w:space="0" w:color="auto"/>
            <w:right w:val="none" w:sz="0" w:space="0" w:color="auto"/>
          </w:divBdr>
          <w:divsChild>
            <w:div w:id="15369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2752">
      <w:bodyDiv w:val="1"/>
      <w:marLeft w:val="0"/>
      <w:marRight w:val="0"/>
      <w:marTop w:val="0"/>
      <w:marBottom w:val="0"/>
      <w:divBdr>
        <w:top w:val="none" w:sz="0" w:space="0" w:color="auto"/>
        <w:left w:val="none" w:sz="0" w:space="0" w:color="auto"/>
        <w:bottom w:val="none" w:sz="0" w:space="0" w:color="auto"/>
        <w:right w:val="none" w:sz="0" w:space="0" w:color="auto"/>
      </w:divBdr>
      <w:divsChild>
        <w:div w:id="1958481756">
          <w:marLeft w:val="0"/>
          <w:marRight w:val="0"/>
          <w:marTop w:val="0"/>
          <w:marBottom w:val="0"/>
          <w:divBdr>
            <w:top w:val="none" w:sz="0" w:space="0" w:color="auto"/>
            <w:left w:val="none" w:sz="0" w:space="0" w:color="auto"/>
            <w:bottom w:val="none" w:sz="0" w:space="0" w:color="auto"/>
            <w:right w:val="none" w:sz="0" w:space="0" w:color="auto"/>
          </w:divBdr>
          <w:divsChild>
            <w:div w:id="19221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51/shsconf/202317604009" TargetMode="External"/><Relationship Id="rId5" Type="http://schemas.openxmlformats.org/officeDocument/2006/relationships/webSettings" Target="webSettings.xml"/><Relationship Id="rId10" Type="http://schemas.openxmlformats.org/officeDocument/2006/relationships/hyperlink" Target="https://doi.org/10.1051/shsconf/202317604009" TargetMode="External"/><Relationship Id="rId4" Type="http://schemas.openxmlformats.org/officeDocument/2006/relationships/settings" Target="settings.xml"/><Relationship Id="rId9" Type="http://schemas.openxmlformats.org/officeDocument/2006/relationships/hyperlink" Target="https://doi.org/10.56065/ICEBM2025.69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GSr1uLjgD2xxifMHd1aCQW1wg==">CgMxLjAyDmgueXd2d2lmZWZwOGkxMg1oLnI4Z2dmMnY2dm1tMg5oLjhyeGd0M2c0aXBnMzIOaC54azJpZDJpa3B3YXAyDmguajdqa250eWJpdjUyMg5oLm5tZmNmMng1YmNuejIOaC50NjI0dzVyMjJ2d3oyDmguNGFuNGxlZWRqam05OAByITEzU1oyWVEwdERJYjNhSE5OUktLX1ppU2ZfaWU2R2EtVA==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7535</Words>
  <Characters>42954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LOSERVERSC</Company>
  <LinksUpToDate>false</LinksUpToDate>
  <CharactersWithSpaces>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2026-05-18T07:33:00Z</cp:lastPrinted>
  <dcterms:created xsi:type="dcterms:W3CDTF">2026-05-25T10:06:00Z</dcterms:created>
  <dcterms:modified xsi:type="dcterms:W3CDTF">2026-05-25T10:06:00Z</dcterms:modified>
</cp:coreProperties>
</file>