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DB" w:rsidRPr="00A61853" w:rsidRDefault="00E45EDB" w:rsidP="00E45EDB">
      <w:pPr>
        <w:spacing w:after="0"/>
        <w:rPr>
          <w:b/>
          <w:i/>
          <w:color w:val="0070C0"/>
          <w:sz w:val="28"/>
          <w:szCs w:val="26"/>
        </w:rPr>
      </w:pPr>
      <w:r>
        <w:rPr>
          <w:b/>
          <w:i/>
          <w:color w:val="0070C0"/>
          <w:sz w:val="28"/>
          <w:szCs w:val="26"/>
        </w:rPr>
        <w:t>Научна биография на ръководител или член на научния колектив</w:t>
      </w:r>
    </w:p>
    <w:p w:rsidR="00E45EDB" w:rsidRDefault="00E45EDB" w:rsidP="00E45EDB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45EDB" w:rsidRPr="00894F7F" w:rsidTr="006755D4">
        <w:tc>
          <w:tcPr>
            <w:tcW w:w="9288" w:type="dxa"/>
          </w:tcPr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>Име, академична длъжност, научна степен</w:t>
            </w:r>
            <w:r w:rsidRPr="00894F7F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6755D4" w:rsidRPr="00894F7F" w:rsidTr="006755D4">
        <w:tc>
          <w:tcPr>
            <w:tcW w:w="9288" w:type="dxa"/>
          </w:tcPr>
          <w:p w:rsidR="006755D4" w:rsidRDefault="006755D4" w:rsidP="0073649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Дамян Димитров Киречев</w:t>
            </w:r>
          </w:p>
          <w:p w:rsidR="006755D4" w:rsidRDefault="006755D4" w:rsidP="0073649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Главен асистент, доктор по икономика</w:t>
            </w:r>
          </w:p>
          <w:p w:rsidR="006755D4" w:rsidRPr="009D45FD" w:rsidRDefault="006755D4" w:rsidP="0073649B">
            <w:pPr>
              <w:spacing w:after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E45ED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color w:val="0070C0"/>
                <w:szCs w:val="24"/>
                <w:lang w:val="bg-BG"/>
              </w:rPr>
            </w:pPr>
            <w:r w:rsidRPr="00894F7F">
              <w:rPr>
                <w:b/>
                <w:i/>
                <w:color w:val="0070C0"/>
                <w:szCs w:val="24"/>
                <w:lang w:val="bg-BG"/>
              </w:rPr>
              <w:t>Месторабота – научна организация, научно звено</w:t>
            </w:r>
          </w:p>
        </w:tc>
      </w:tr>
      <w:tr w:rsidR="006755D4" w:rsidRPr="00894F7F" w:rsidTr="006755D4">
        <w:tc>
          <w:tcPr>
            <w:tcW w:w="9288" w:type="dxa"/>
          </w:tcPr>
          <w:p w:rsidR="006755D4" w:rsidRPr="006755D4" w:rsidRDefault="006755D4" w:rsidP="006755D4">
            <w:pPr>
              <w:spacing w:after="0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Икономически университет – Варна</w:t>
            </w:r>
          </w:p>
          <w:p w:rsidR="006755D4" w:rsidRPr="006755D4" w:rsidRDefault="006755D4" w:rsidP="006755D4">
            <w:pPr>
              <w:spacing w:after="0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Катедра „Аграрна икономика“</w:t>
            </w:r>
          </w:p>
          <w:p w:rsidR="006755D4" w:rsidRPr="00894F7F" w:rsidRDefault="006755D4" w:rsidP="006755D4">
            <w:pPr>
              <w:spacing w:after="0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Варна 9002, бул. Княз Борис I 77</w:t>
            </w:r>
          </w:p>
          <w:p w:rsidR="006755D4" w:rsidRPr="00894F7F" w:rsidRDefault="006755D4" w:rsidP="00E45EDB">
            <w:pPr>
              <w:spacing w:after="0"/>
              <w:rPr>
                <w:sz w:val="24"/>
                <w:szCs w:val="24"/>
              </w:rPr>
            </w:pP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E45ED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color w:val="0070C0"/>
                <w:szCs w:val="24"/>
                <w:lang w:val="bg-BG"/>
              </w:rPr>
            </w:pPr>
            <w:r w:rsidRPr="00894F7F">
              <w:rPr>
                <w:b/>
                <w:i/>
                <w:color w:val="0070C0"/>
                <w:szCs w:val="24"/>
                <w:lang w:val="bg-BG"/>
              </w:rPr>
              <w:t xml:space="preserve"> Образование</w:t>
            </w:r>
          </w:p>
        </w:tc>
      </w:tr>
      <w:tr w:rsidR="006755D4" w:rsidRPr="00894F7F" w:rsidTr="006755D4">
        <w:tc>
          <w:tcPr>
            <w:tcW w:w="9288" w:type="dxa"/>
          </w:tcPr>
          <w:p w:rsidR="006755D4" w:rsidRPr="006755D4" w:rsidRDefault="006755D4" w:rsidP="006755D4">
            <w:pPr>
              <w:spacing w:after="0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висше : Икономически университет – Варна, специалност „Аграрна икономика” и специалност „Финанси” 1996 г.</w:t>
            </w:r>
          </w:p>
          <w:p w:rsidR="006755D4" w:rsidRPr="006755D4" w:rsidRDefault="006755D4" w:rsidP="006755D4">
            <w:pPr>
              <w:spacing w:after="0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квалификация „Аграрен икономист” и „Икономист-финансист”</w:t>
            </w:r>
          </w:p>
          <w:p w:rsidR="006755D4" w:rsidRPr="00894F7F" w:rsidRDefault="006755D4" w:rsidP="00E45EDB">
            <w:pPr>
              <w:spacing w:after="0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Икономически университет – Варна, образователна и научна степен „доктор”, 2014 г.</w:t>
            </w:r>
          </w:p>
          <w:p w:rsidR="006755D4" w:rsidRPr="00894F7F" w:rsidRDefault="006755D4" w:rsidP="00E45EDB">
            <w:pPr>
              <w:spacing w:after="0"/>
              <w:rPr>
                <w:sz w:val="24"/>
                <w:szCs w:val="24"/>
              </w:rPr>
            </w:pP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E45ED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color w:val="0070C0"/>
                <w:szCs w:val="24"/>
                <w:lang w:val="bg-BG"/>
              </w:rPr>
            </w:pPr>
            <w:r w:rsidRPr="00894F7F">
              <w:rPr>
                <w:b/>
                <w:i/>
                <w:color w:val="0070C0"/>
                <w:szCs w:val="24"/>
                <w:lang w:val="bg-BG"/>
              </w:rPr>
              <w:t>Заемани длъжности за последните пет години</w:t>
            </w:r>
          </w:p>
        </w:tc>
      </w:tr>
      <w:tr w:rsidR="006755D4" w:rsidRPr="00894F7F" w:rsidTr="006755D4">
        <w:tc>
          <w:tcPr>
            <w:tcW w:w="9288" w:type="dxa"/>
          </w:tcPr>
          <w:p w:rsidR="006755D4" w:rsidRPr="006755D4" w:rsidRDefault="006755D4" w:rsidP="006755D4">
            <w:pPr>
              <w:spacing w:after="0" w:line="240" w:lineRule="auto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Икономически университет – Варна, главен асистент</w:t>
            </w:r>
          </w:p>
          <w:p w:rsidR="006755D4" w:rsidRPr="006755D4" w:rsidRDefault="006755D4" w:rsidP="006755D4">
            <w:pPr>
              <w:spacing w:after="0" w:line="240" w:lineRule="auto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Доктор по икономика по научна специалност 3.8. Икономика и управление (селско стопанство), 2014 г.</w:t>
            </w:r>
          </w:p>
          <w:p w:rsidR="006755D4" w:rsidRPr="00894F7F" w:rsidRDefault="006755D4" w:rsidP="00E45EDB">
            <w:pPr>
              <w:spacing w:after="0" w:line="240" w:lineRule="auto"/>
              <w:rPr>
                <w:sz w:val="24"/>
                <w:szCs w:val="24"/>
              </w:rPr>
            </w:pPr>
            <w:r w:rsidRPr="006755D4">
              <w:rPr>
                <w:sz w:val="24"/>
                <w:szCs w:val="24"/>
              </w:rPr>
              <w:t>катедра „Аграрна икономика”</w:t>
            </w:r>
          </w:p>
          <w:p w:rsidR="006755D4" w:rsidRPr="00894F7F" w:rsidRDefault="006755D4" w:rsidP="00E45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E45ED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color w:val="0070C0"/>
                <w:szCs w:val="24"/>
                <w:lang w:val="bg-BG"/>
              </w:rPr>
            </w:pPr>
            <w:r w:rsidRPr="00894F7F">
              <w:rPr>
                <w:b/>
                <w:i/>
                <w:color w:val="0070C0"/>
                <w:szCs w:val="24"/>
                <w:lang w:val="bg-BG"/>
              </w:rPr>
              <w:t>Основна област и подобласти на научни изследвания</w:t>
            </w: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6755D4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</w:pPr>
            <w:r w:rsidRPr="006755D4">
              <w:rPr>
                <w:szCs w:val="24"/>
                <w:lang w:val="bg-BG"/>
              </w:rPr>
              <w:t>Технологии в селското стопанство (растениевъдство и животновъдство), финанси, екология, управление на риска; инвестиции</w:t>
            </w:r>
          </w:p>
          <w:p w:rsidR="006755D4" w:rsidRPr="00894F7F" w:rsidRDefault="006755D4" w:rsidP="00E45EDB">
            <w:pPr>
              <w:spacing w:after="0" w:line="240" w:lineRule="auto"/>
              <w:rPr>
                <w:sz w:val="24"/>
                <w:szCs w:val="24"/>
                <w:lang w:eastAsia="x-none"/>
              </w:rPr>
            </w:pP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E45ED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color w:val="0070C0"/>
                <w:szCs w:val="24"/>
                <w:lang w:val="bg-BG"/>
              </w:rPr>
            </w:pPr>
            <w:r w:rsidRPr="00894F7F">
              <w:rPr>
                <w:b/>
                <w:i/>
                <w:color w:val="0070C0"/>
                <w:szCs w:val="24"/>
                <w:lang w:val="bg-BG"/>
              </w:rPr>
              <w:t>Допълнителни области и подобласти на научни изследвания</w:t>
            </w:r>
          </w:p>
        </w:tc>
      </w:tr>
      <w:tr w:rsidR="006755D4" w:rsidRPr="00894F7F" w:rsidTr="006755D4">
        <w:tc>
          <w:tcPr>
            <w:tcW w:w="9288" w:type="dxa"/>
          </w:tcPr>
          <w:p w:rsidR="006755D4" w:rsidRPr="006755D4" w:rsidRDefault="006755D4" w:rsidP="006755D4">
            <w:pPr>
              <w:pStyle w:val="Heading8"/>
              <w:numPr>
                <w:ilvl w:val="0"/>
                <w:numId w:val="0"/>
              </w:numPr>
              <w:spacing w:after="0"/>
              <w:rPr>
                <w:szCs w:val="24"/>
                <w:lang w:val="bg-BG"/>
              </w:rPr>
            </w:pPr>
            <w:r w:rsidRPr="006755D4">
              <w:rPr>
                <w:szCs w:val="24"/>
                <w:lang w:val="bg-BG"/>
              </w:rPr>
              <w:t>Технологии в растениевъдството, технологии в животновъдството</w:t>
            </w:r>
          </w:p>
          <w:p w:rsidR="006755D4" w:rsidRPr="006755D4" w:rsidRDefault="006755D4" w:rsidP="006755D4">
            <w:pPr>
              <w:pStyle w:val="Heading8"/>
              <w:numPr>
                <w:ilvl w:val="0"/>
                <w:numId w:val="0"/>
              </w:numPr>
              <w:spacing w:after="0"/>
              <w:rPr>
                <w:szCs w:val="24"/>
                <w:lang w:val="bg-BG"/>
              </w:rPr>
            </w:pPr>
            <w:r w:rsidRPr="006755D4">
              <w:rPr>
                <w:szCs w:val="24"/>
                <w:lang w:val="bg-BG"/>
              </w:rPr>
              <w:t>Финанси на фирмата, инвестиционен анализ, финансов анализ,</w:t>
            </w:r>
          </w:p>
          <w:p w:rsidR="006755D4" w:rsidRPr="006755D4" w:rsidRDefault="006755D4" w:rsidP="006755D4">
            <w:pPr>
              <w:pStyle w:val="Heading8"/>
              <w:numPr>
                <w:ilvl w:val="0"/>
                <w:numId w:val="0"/>
              </w:numPr>
              <w:spacing w:after="0"/>
              <w:ind w:left="1440" w:hanging="1440"/>
              <w:rPr>
                <w:szCs w:val="24"/>
                <w:lang w:val="bg-BG"/>
              </w:rPr>
            </w:pPr>
            <w:r w:rsidRPr="006755D4">
              <w:rPr>
                <w:szCs w:val="24"/>
                <w:lang w:val="bg-BG"/>
              </w:rPr>
              <w:t>Агроекология, обща екология, приложна екология</w:t>
            </w:r>
          </w:p>
          <w:p w:rsidR="006755D4" w:rsidRPr="00894F7F" w:rsidRDefault="006755D4" w:rsidP="006755D4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szCs w:val="24"/>
                <w:lang w:val="bg-BG"/>
              </w:rPr>
            </w:pPr>
            <w:r w:rsidRPr="006755D4">
              <w:rPr>
                <w:szCs w:val="24"/>
                <w:lang w:val="bg-BG"/>
              </w:rPr>
              <w:t>Управление на риска в земеделските стопанства</w:t>
            </w:r>
          </w:p>
          <w:p w:rsidR="006755D4" w:rsidRPr="00894F7F" w:rsidRDefault="006755D4" w:rsidP="00E45EDB">
            <w:pPr>
              <w:spacing w:after="0" w:line="240" w:lineRule="auto"/>
              <w:rPr>
                <w:sz w:val="24"/>
                <w:szCs w:val="24"/>
                <w:lang w:eastAsia="x-none"/>
              </w:rPr>
            </w:pP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E45ED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  <w:lang w:eastAsia="x-none"/>
              </w:rPr>
              <w:t>Специализации в чужбина и международно сътрудничество</w:t>
            </w: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E45EDB">
            <w:pPr>
              <w:spacing w:after="0"/>
              <w:rPr>
                <w:sz w:val="24"/>
                <w:szCs w:val="24"/>
                <w:lang w:eastAsia="x-none"/>
              </w:rPr>
            </w:pPr>
          </w:p>
          <w:p w:rsidR="006755D4" w:rsidRPr="00894F7F" w:rsidRDefault="006755D4" w:rsidP="00E45EDB">
            <w:pPr>
              <w:spacing w:after="0"/>
              <w:rPr>
                <w:sz w:val="24"/>
                <w:szCs w:val="24"/>
                <w:lang w:eastAsia="x-none"/>
              </w:rPr>
            </w:pPr>
          </w:p>
        </w:tc>
      </w:tr>
      <w:tr w:rsidR="006755D4" w:rsidRPr="00894F7F" w:rsidTr="006755D4">
        <w:tc>
          <w:tcPr>
            <w:tcW w:w="9288" w:type="dxa"/>
          </w:tcPr>
          <w:p w:rsidR="006755D4" w:rsidRPr="00894F7F" w:rsidRDefault="006755D4" w:rsidP="00E45ED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color w:val="0070C0"/>
                <w:szCs w:val="24"/>
                <w:lang w:val="bg-BG"/>
              </w:rPr>
            </w:pPr>
            <w:r w:rsidRPr="00894F7F">
              <w:rPr>
                <w:b/>
                <w:i/>
                <w:color w:val="0070C0"/>
                <w:szCs w:val="24"/>
                <w:lang w:val="bg-BG"/>
              </w:rPr>
              <w:t>Научни награди и членство в научни организации</w:t>
            </w:r>
          </w:p>
        </w:tc>
      </w:tr>
      <w:tr w:rsidR="006755D4" w:rsidRPr="00894F7F" w:rsidTr="006755D4">
        <w:tc>
          <w:tcPr>
            <w:tcW w:w="9288" w:type="dxa"/>
          </w:tcPr>
          <w:p w:rsidR="006755D4" w:rsidRPr="006755D4" w:rsidRDefault="006755D4" w:rsidP="006755D4">
            <w:pPr>
              <w:spacing w:after="0"/>
              <w:rPr>
                <w:sz w:val="24"/>
                <w:szCs w:val="24"/>
                <w:lang w:eastAsia="x-none"/>
              </w:rPr>
            </w:pPr>
            <w:r w:rsidRPr="006755D4">
              <w:rPr>
                <w:sz w:val="24"/>
                <w:szCs w:val="24"/>
                <w:lang w:eastAsia="x-none"/>
              </w:rPr>
              <w:t>Съюз на учените в България, клон Варна, секция „Икономика”</w:t>
            </w:r>
          </w:p>
          <w:p w:rsidR="006755D4" w:rsidRPr="006755D4" w:rsidRDefault="006755D4" w:rsidP="006755D4">
            <w:pPr>
              <w:spacing w:after="0"/>
              <w:rPr>
                <w:sz w:val="24"/>
                <w:szCs w:val="24"/>
                <w:lang w:eastAsia="x-none"/>
              </w:rPr>
            </w:pPr>
            <w:r w:rsidRPr="006755D4">
              <w:rPr>
                <w:sz w:val="24"/>
                <w:szCs w:val="24"/>
                <w:lang w:eastAsia="x-none"/>
              </w:rPr>
              <w:t>Национална селска мрежа</w:t>
            </w:r>
          </w:p>
          <w:p w:rsidR="006755D4" w:rsidRPr="00894F7F" w:rsidRDefault="006755D4" w:rsidP="00E45EDB">
            <w:pPr>
              <w:spacing w:after="0"/>
              <w:rPr>
                <w:sz w:val="24"/>
                <w:szCs w:val="24"/>
                <w:lang w:eastAsia="x-none"/>
              </w:rPr>
            </w:pPr>
          </w:p>
        </w:tc>
      </w:tr>
    </w:tbl>
    <w:p w:rsidR="00E45EDB" w:rsidRDefault="00E45EDB" w:rsidP="00E45EDB">
      <w:pPr>
        <w:rPr>
          <w:lang w:eastAsia="x-none"/>
        </w:rPr>
      </w:pPr>
      <w:r>
        <w:rPr>
          <w:lang w:eastAsia="x-non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45EDB" w:rsidRPr="00894F7F" w:rsidTr="006755D4">
        <w:tc>
          <w:tcPr>
            <w:tcW w:w="9288" w:type="dxa"/>
          </w:tcPr>
          <w:p w:rsidR="00E45EDB" w:rsidRPr="006755D4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  <w:lang w:val="en-US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lastRenderedPageBreak/>
              <w:t>Име, използвано в публикации на чужд език:</w:t>
            </w:r>
            <w:r w:rsidR="006755D4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6755D4">
              <w:rPr>
                <w:b/>
                <w:i/>
                <w:color w:val="0070C0"/>
                <w:sz w:val="24"/>
                <w:szCs w:val="24"/>
                <w:lang w:val="en-US"/>
              </w:rPr>
              <w:t>Damyan Kirechev</w:t>
            </w:r>
          </w:p>
        </w:tc>
      </w:tr>
      <w:tr w:rsidR="00E45EDB" w:rsidRPr="00894F7F" w:rsidTr="006755D4">
        <w:tc>
          <w:tcPr>
            <w:tcW w:w="9288" w:type="dxa"/>
          </w:tcPr>
          <w:p w:rsidR="00E45EDB" w:rsidRPr="006755D4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  <w:lang w:val="en-US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Н индекс (според </w:t>
            </w:r>
            <w:r w:rsidRPr="00894F7F"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Scopus </w:t>
            </w:r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или </w:t>
            </w:r>
            <w:r w:rsidRPr="00894F7F">
              <w:rPr>
                <w:b/>
                <w:i/>
                <w:color w:val="0070C0"/>
                <w:sz w:val="24"/>
                <w:szCs w:val="24"/>
                <w:lang w:val="en-US"/>
              </w:rPr>
              <w:t>Web of Science)</w:t>
            </w:r>
            <w:r w:rsidRPr="00894F7F">
              <w:rPr>
                <w:i/>
                <w:color w:val="0070C0"/>
                <w:sz w:val="24"/>
                <w:szCs w:val="24"/>
              </w:rPr>
              <w:t>:</w:t>
            </w:r>
            <w:r w:rsidR="006755D4">
              <w:rPr>
                <w:i/>
                <w:color w:val="0070C0"/>
                <w:sz w:val="24"/>
                <w:szCs w:val="24"/>
                <w:lang w:val="en-US"/>
              </w:rPr>
              <w:t xml:space="preserve"> 0</w:t>
            </w:r>
          </w:p>
        </w:tc>
      </w:tr>
      <w:tr w:rsidR="00E45EDB" w:rsidRPr="00894F7F" w:rsidTr="006755D4">
        <w:tc>
          <w:tcPr>
            <w:tcW w:w="9288" w:type="dxa"/>
          </w:tcPr>
          <w:p w:rsidR="00E45EDB" w:rsidRDefault="00E45EDB" w:rsidP="00E45EDB">
            <w:pPr>
              <w:spacing w:after="0"/>
              <w:rPr>
                <w:i/>
                <w:color w:val="0070C0"/>
                <w:sz w:val="24"/>
                <w:szCs w:val="24"/>
                <w:lang w:val="en-US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>Интернет адрес със списък на научните публикации (</w:t>
            </w:r>
            <w:proofErr w:type="spellStart"/>
            <w:r w:rsidRPr="00894F7F">
              <w:rPr>
                <w:b/>
                <w:i/>
                <w:color w:val="0070C0"/>
                <w:sz w:val="24"/>
                <w:szCs w:val="24"/>
                <w:lang w:val="en-US"/>
              </w:rPr>
              <w:t>ResearcherID</w:t>
            </w:r>
            <w:proofErr w:type="spellEnd"/>
            <w:r w:rsidRPr="00894F7F"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, Research gate, </w:t>
            </w:r>
            <w:r w:rsidRPr="00894F7F">
              <w:rPr>
                <w:b/>
                <w:i/>
                <w:color w:val="0070C0"/>
                <w:sz w:val="24"/>
                <w:szCs w:val="24"/>
              </w:rPr>
              <w:t>и др</w:t>
            </w:r>
            <w:r w:rsidRPr="00894F7F">
              <w:rPr>
                <w:b/>
                <w:i/>
                <w:color w:val="0070C0"/>
                <w:sz w:val="24"/>
                <w:szCs w:val="24"/>
                <w:lang w:val="en-US"/>
              </w:rPr>
              <w:t>.)</w:t>
            </w:r>
            <w:r w:rsidRPr="00894F7F">
              <w:rPr>
                <w:i/>
                <w:color w:val="0070C0"/>
                <w:sz w:val="24"/>
                <w:szCs w:val="24"/>
              </w:rPr>
              <w:t>:</w:t>
            </w:r>
          </w:p>
          <w:p w:rsidR="006755D4" w:rsidRDefault="006755D4" w:rsidP="006755D4">
            <w:pPr>
              <w:spacing w:after="0"/>
              <w:rPr>
                <w:i/>
                <w:color w:val="0070C0"/>
                <w:sz w:val="24"/>
                <w:szCs w:val="24"/>
                <w:lang w:val="en-US"/>
              </w:rPr>
            </w:pPr>
            <w:hyperlink r:id="rId6" w:history="1">
              <w:r w:rsidRPr="00F36018">
                <w:rPr>
                  <w:rStyle w:val="Hyperlink"/>
                  <w:i/>
                  <w:sz w:val="24"/>
                  <w:szCs w:val="24"/>
                  <w:lang w:val="en-US"/>
                </w:rPr>
                <w:t>https://publications.ue-varna.bg/list-author/a1lA</w:t>
              </w:r>
            </w:hyperlink>
          </w:p>
          <w:p w:rsidR="006755D4" w:rsidRDefault="006755D4" w:rsidP="006755D4">
            <w:pPr>
              <w:spacing w:after="0"/>
              <w:rPr>
                <w:i/>
                <w:color w:val="0070C0"/>
                <w:sz w:val="24"/>
                <w:szCs w:val="24"/>
                <w:lang w:val="en-US"/>
              </w:rPr>
            </w:pPr>
            <w:hyperlink r:id="rId7" w:history="1">
              <w:r w:rsidRPr="00F36018">
                <w:rPr>
                  <w:rStyle w:val="Hyperlink"/>
                  <w:i/>
                  <w:sz w:val="24"/>
                  <w:szCs w:val="24"/>
                  <w:lang w:val="en-US"/>
                </w:rPr>
                <w:t>https://scholar.google.bg/citations?user=lK1GkKYAAAAJ&amp;hl=bg</w:t>
              </w:r>
            </w:hyperlink>
          </w:p>
          <w:p w:rsidR="006755D4" w:rsidRDefault="006755D4" w:rsidP="00E45EDB">
            <w:pPr>
              <w:spacing w:after="0"/>
              <w:rPr>
                <w:i/>
                <w:color w:val="0070C0"/>
                <w:sz w:val="24"/>
                <w:szCs w:val="24"/>
                <w:lang w:val="en-US"/>
              </w:rPr>
            </w:pPr>
            <w:hyperlink r:id="rId8" w:history="1">
              <w:r w:rsidRPr="00F36018">
                <w:rPr>
                  <w:rStyle w:val="Hyperlink"/>
                  <w:i/>
                  <w:sz w:val="24"/>
                  <w:szCs w:val="24"/>
                  <w:lang w:val="en-US"/>
                </w:rPr>
                <w:t>https://www.researchgate.net/profile/Damyan_Kirechev</w:t>
              </w:r>
            </w:hyperlink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E45EDB" w:rsidRPr="00894F7F" w:rsidTr="006755D4">
        <w:tc>
          <w:tcPr>
            <w:tcW w:w="9288" w:type="dxa"/>
          </w:tcPr>
          <w:p w:rsidR="00E45EDB" w:rsidRPr="006755D4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  <w:lang w:val="en-US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>Общ брой научни публикации</w:t>
            </w:r>
            <w:r w:rsidRPr="00894F7F">
              <w:rPr>
                <w:i/>
                <w:color w:val="0070C0"/>
                <w:sz w:val="24"/>
                <w:szCs w:val="24"/>
              </w:rPr>
              <w:t>:</w:t>
            </w:r>
            <w:r w:rsidR="006755D4">
              <w:rPr>
                <w:i/>
                <w:color w:val="0070C0"/>
                <w:sz w:val="24"/>
                <w:szCs w:val="24"/>
                <w:lang w:val="en-US"/>
              </w:rPr>
              <w:t xml:space="preserve"> 74</w:t>
            </w:r>
          </w:p>
        </w:tc>
      </w:tr>
      <w:tr w:rsidR="00E45EDB" w:rsidRPr="00894F7F" w:rsidTr="006755D4">
        <w:tc>
          <w:tcPr>
            <w:tcW w:w="9288" w:type="dxa"/>
          </w:tcPr>
          <w:p w:rsidR="00E45EDB" w:rsidRPr="006755D4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  <w:lang w:val="en-US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От тях с </w:t>
            </w:r>
            <w:proofErr w:type="spellStart"/>
            <w:r w:rsidRPr="00894F7F">
              <w:rPr>
                <w:b/>
                <w:i/>
                <w:color w:val="0070C0"/>
                <w:sz w:val="24"/>
                <w:szCs w:val="24"/>
              </w:rPr>
              <w:t>импакт</w:t>
            </w:r>
            <w:proofErr w:type="spellEnd"/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 фактор или </w:t>
            </w:r>
            <w:proofErr w:type="spellStart"/>
            <w:r w:rsidRPr="00894F7F">
              <w:rPr>
                <w:b/>
                <w:i/>
                <w:color w:val="0070C0"/>
                <w:sz w:val="24"/>
                <w:szCs w:val="24"/>
              </w:rPr>
              <w:t>импакт</w:t>
            </w:r>
            <w:proofErr w:type="spellEnd"/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 ранг</w:t>
            </w:r>
            <w:r w:rsidRPr="00894F7F">
              <w:rPr>
                <w:i/>
                <w:color w:val="0070C0"/>
                <w:sz w:val="24"/>
                <w:szCs w:val="24"/>
              </w:rPr>
              <w:t>:</w:t>
            </w:r>
            <w:r w:rsidR="006755D4">
              <w:rPr>
                <w:i/>
                <w:color w:val="0070C0"/>
                <w:sz w:val="24"/>
                <w:szCs w:val="24"/>
                <w:lang w:val="en-US"/>
              </w:rPr>
              <w:t xml:space="preserve"> 41</w:t>
            </w:r>
          </w:p>
        </w:tc>
      </w:tr>
      <w:tr w:rsidR="00E45EDB" w:rsidRPr="00894F7F" w:rsidTr="006755D4">
        <w:tc>
          <w:tcPr>
            <w:tcW w:w="9288" w:type="dxa"/>
          </w:tcPr>
          <w:p w:rsidR="00E45EDB" w:rsidRPr="006755D4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  <w:lang w:val="en-US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>Брой цитати на научните публикации</w:t>
            </w:r>
            <w:r w:rsidRPr="00894F7F">
              <w:rPr>
                <w:i/>
                <w:color w:val="0070C0"/>
                <w:sz w:val="24"/>
                <w:szCs w:val="24"/>
              </w:rPr>
              <w:t>:</w:t>
            </w:r>
            <w:r w:rsidR="006755D4">
              <w:rPr>
                <w:i/>
                <w:color w:val="0070C0"/>
                <w:sz w:val="24"/>
                <w:szCs w:val="24"/>
                <w:lang w:val="en-US"/>
              </w:rPr>
              <w:t xml:space="preserve"> 23</w:t>
            </w:r>
          </w:p>
        </w:tc>
      </w:tr>
      <w:tr w:rsidR="00E45EDB" w:rsidRPr="00894F7F" w:rsidTr="006755D4">
        <w:tc>
          <w:tcPr>
            <w:tcW w:w="9288" w:type="dxa"/>
          </w:tcPr>
          <w:p w:rsidR="00E45EDB" w:rsidRPr="006755D4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  <w:lang w:val="en-US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>Брой научни публикации от последните пет години:</w:t>
            </w:r>
            <w:r w:rsidR="006755D4"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 20</w:t>
            </w:r>
          </w:p>
        </w:tc>
      </w:tr>
      <w:tr w:rsidR="00E45EDB" w:rsidRPr="00894F7F" w:rsidTr="006755D4">
        <w:tc>
          <w:tcPr>
            <w:tcW w:w="9288" w:type="dxa"/>
          </w:tcPr>
          <w:p w:rsidR="00E45EDB" w:rsidRPr="006755D4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  <w:lang w:val="en-US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От тях с </w:t>
            </w:r>
            <w:proofErr w:type="spellStart"/>
            <w:r w:rsidRPr="00894F7F">
              <w:rPr>
                <w:b/>
                <w:i/>
                <w:color w:val="0070C0"/>
                <w:sz w:val="24"/>
                <w:szCs w:val="24"/>
              </w:rPr>
              <w:t>импакт</w:t>
            </w:r>
            <w:proofErr w:type="spellEnd"/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 фактор или </w:t>
            </w:r>
            <w:proofErr w:type="spellStart"/>
            <w:r w:rsidRPr="00894F7F">
              <w:rPr>
                <w:b/>
                <w:i/>
                <w:color w:val="0070C0"/>
                <w:sz w:val="24"/>
                <w:szCs w:val="24"/>
              </w:rPr>
              <w:t>импакт</w:t>
            </w:r>
            <w:proofErr w:type="spellEnd"/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 ранг</w:t>
            </w:r>
            <w:r w:rsidRPr="00894F7F">
              <w:rPr>
                <w:i/>
                <w:color w:val="0070C0"/>
                <w:sz w:val="24"/>
                <w:szCs w:val="24"/>
              </w:rPr>
              <w:t>:</w:t>
            </w:r>
            <w:r w:rsidR="006755D4">
              <w:rPr>
                <w:i/>
                <w:color w:val="0070C0"/>
                <w:sz w:val="24"/>
                <w:szCs w:val="24"/>
                <w:lang w:val="en-US"/>
              </w:rPr>
              <w:t xml:space="preserve"> 13</w:t>
            </w:r>
          </w:p>
        </w:tc>
      </w:tr>
      <w:tr w:rsidR="00E45EDB" w:rsidRPr="00894F7F" w:rsidTr="006755D4">
        <w:tc>
          <w:tcPr>
            <w:tcW w:w="9288" w:type="dxa"/>
            <w:tcBorders>
              <w:bottom w:val="single" w:sz="4" w:space="0" w:color="auto"/>
            </w:tcBorders>
          </w:tcPr>
          <w:p w:rsidR="00E45EDB" w:rsidRPr="006755D4" w:rsidRDefault="00E45EDB" w:rsidP="00E45EDB">
            <w:pPr>
              <w:spacing w:after="0"/>
              <w:rPr>
                <w:b/>
                <w:i/>
                <w:color w:val="0070C0"/>
                <w:sz w:val="24"/>
                <w:szCs w:val="24"/>
                <w:lang w:val="en-US" w:eastAsia="x-none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>Брой цитати на научните публикации от последните пет години</w:t>
            </w:r>
            <w:r w:rsidRPr="00894F7F">
              <w:rPr>
                <w:i/>
                <w:color w:val="0070C0"/>
                <w:sz w:val="24"/>
                <w:szCs w:val="24"/>
              </w:rPr>
              <w:t>:</w:t>
            </w:r>
            <w:r w:rsidR="006755D4">
              <w:rPr>
                <w:i/>
                <w:color w:val="0070C0"/>
                <w:sz w:val="24"/>
                <w:szCs w:val="24"/>
                <w:lang w:val="en-US"/>
              </w:rPr>
              <w:t>13</w:t>
            </w:r>
          </w:p>
        </w:tc>
      </w:tr>
      <w:tr w:rsidR="00E45EDB" w:rsidRPr="00894F7F" w:rsidTr="006755D4">
        <w:tc>
          <w:tcPr>
            <w:tcW w:w="9288" w:type="dxa"/>
            <w:tcBorders>
              <w:left w:val="nil"/>
              <w:right w:val="nil"/>
            </w:tcBorders>
          </w:tcPr>
          <w:p w:rsidR="00E45EDB" w:rsidRPr="00894F7F" w:rsidRDefault="00E45EDB" w:rsidP="00E45ED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color w:val="0070C0"/>
                <w:szCs w:val="24"/>
                <w:lang w:val="bg-BG"/>
              </w:rPr>
            </w:pPr>
          </w:p>
        </w:tc>
      </w:tr>
      <w:tr w:rsidR="00E45EDB" w:rsidRPr="00894F7F" w:rsidTr="006755D4">
        <w:tc>
          <w:tcPr>
            <w:tcW w:w="9288" w:type="dxa"/>
          </w:tcPr>
          <w:p w:rsidR="00E45EDB" w:rsidRPr="00894F7F" w:rsidRDefault="00E45EDB" w:rsidP="00E45ED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rPr>
                <w:b/>
                <w:i/>
                <w:color w:val="0070C0"/>
                <w:szCs w:val="24"/>
                <w:lang w:val="bg-BG"/>
              </w:rPr>
            </w:pPr>
            <w:r w:rsidRPr="00894F7F">
              <w:rPr>
                <w:b/>
                <w:i/>
                <w:color w:val="0070C0"/>
                <w:szCs w:val="24"/>
                <w:lang w:val="bg-BG"/>
              </w:rPr>
              <w:t>Избрани научни публикации по тематиката на проекта</w:t>
            </w:r>
          </w:p>
        </w:tc>
      </w:tr>
      <w:tr w:rsidR="00E45EDB" w:rsidRPr="00894F7F" w:rsidTr="006755D4">
        <w:tc>
          <w:tcPr>
            <w:tcW w:w="9288" w:type="dxa"/>
          </w:tcPr>
          <w:p w:rsidR="006755D4" w:rsidRPr="00F56E2D" w:rsidRDefault="006755D4" w:rsidP="006755D4">
            <w:pPr>
              <w:spacing w:after="0"/>
              <w:rPr>
                <w:i/>
              </w:rPr>
            </w:pPr>
            <w:r w:rsidRPr="00F56E2D">
              <w:rPr>
                <w:b/>
                <w:i/>
              </w:rPr>
              <w:t>Статии</w:t>
            </w:r>
            <w:r w:rsidRPr="00F56E2D">
              <w:rPr>
                <w:i/>
              </w:rPr>
              <w:t>:</w:t>
            </w:r>
          </w:p>
          <w:p w:rsidR="006755D4" w:rsidRPr="004B3C1A" w:rsidRDefault="006755D4" w:rsidP="004C7B1C">
            <w:pPr>
              <w:spacing w:after="0"/>
              <w:rPr>
                <w:i/>
                <w:sz w:val="24"/>
                <w:szCs w:val="24"/>
              </w:rPr>
            </w:pP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Финансиране на веригата на стойността в земеделието - възможност за подобряване на достъпа до финанси на българските </w:t>
            </w:r>
            <w:proofErr w:type="spellStart"/>
            <w:r w:rsidRPr="004B3C1A">
              <w:rPr>
                <w:i/>
                <w:sz w:val="24"/>
                <w:szCs w:val="24"/>
              </w:rPr>
              <w:t>агрофирми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Известия на Съюза на учените - Варна. </w:t>
            </w:r>
            <w:proofErr w:type="spellStart"/>
            <w:r w:rsidRPr="004B3C1A">
              <w:rPr>
                <w:i/>
                <w:sz w:val="24"/>
                <w:szCs w:val="24"/>
              </w:rPr>
              <w:t>Сер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Икономически науки, Варна : Съюз на учените - Варна, 7, 2018, 3, 294 - 299. 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Потенциал на аграрния сектор за смекчаване на парниковите газове и промените в климата. Известия на Съюза на учените - Варна. </w:t>
            </w:r>
            <w:proofErr w:type="spellStart"/>
            <w:r w:rsidRPr="004B3C1A">
              <w:rPr>
                <w:i/>
                <w:sz w:val="24"/>
                <w:szCs w:val="24"/>
              </w:rPr>
              <w:t>Сер</w:t>
            </w:r>
            <w:proofErr w:type="spellEnd"/>
            <w:r w:rsidRPr="004B3C1A">
              <w:rPr>
                <w:i/>
                <w:sz w:val="24"/>
                <w:szCs w:val="24"/>
              </w:rPr>
              <w:t>. Икономически науки, 7, 2018, 1, с. 193 - 208.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proofErr w:type="spellStart"/>
            <w:r w:rsidRPr="004B3C1A">
              <w:rPr>
                <w:i/>
                <w:sz w:val="24"/>
                <w:szCs w:val="24"/>
              </w:rPr>
              <w:t>Georgieva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, T., Kirechev, D. </w:t>
            </w:r>
            <w:proofErr w:type="spellStart"/>
            <w:r w:rsidRPr="004B3C1A">
              <w:rPr>
                <w:i/>
                <w:sz w:val="24"/>
                <w:szCs w:val="24"/>
              </w:rPr>
              <w:t>Research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on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the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Sources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4B3C1A">
              <w:rPr>
                <w:i/>
                <w:sz w:val="24"/>
                <w:szCs w:val="24"/>
              </w:rPr>
              <w:t>Risk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for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Agricultural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Cooperatives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in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Northeastern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Bulgaria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Trakia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Journal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of Science. </w:t>
            </w:r>
            <w:proofErr w:type="spellStart"/>
            <w:r w:rsidRPr="004B3C1A">
              <w:rPr>
                <w:i/>
                <w:sz w:val="24"/>
                <w:szCs w:val="24"/>
              </w:rPr>
              <w:t>Scientific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Serial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Published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by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Trakia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University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Social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Sciences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3C1A">
              <w:rPr>
                <w:i/>
                <w:sz w:val="24"/>
                <w:szCs w:val="24"/>
              </w:rPr>
              <w:t>Vol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15, 2017, </w:t>
            </w:r>
            <w:proofErr w:type="spellStart"/>
            <w:r w:rsidRPr="004B3C1A">
              <w:rPr>
                <w:i/>
                <w:sz w:val="24"/>
                <w:szCs w:val="24"/>
              </w:rPr>
              <w:t>Suppl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1, </w:t>
            </w:r>
            <w:proofErr w:type="spellStart"/>
            <w:r w:rsidRPr="004B3C1A">
              <w:rPr>
                <w:i/>
                <w:sz w:val="24"/>
                <w:szCs w:val="24"/>
              </w:rPr>
              <w:t>pp</w:t>
            </w:r>
            <w:proofErr w:type="spellEnd"/>
            <w:r w:rsidRPr="004B3C1A">
              <w:rPr>
                <w:i/>
                <w:sz w:val="24"/>
                <w:szCs w:val="24"/>
              </w:rPr>
              <w:t>. 206 - 215.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Д., Николов, Р. Финансова подкрепа на екологично насочените площи и влиянието им върху биоразнообразието в България. Известия на Съюза на учените - Варна. </w:t>
            </w:r>
            <w:proofErr w:type="spellStart"/>
            <w:r w:rsidRPr="004B3C1A">
              <w:rPr>
                <w:i/>
                <w:sz w:val="24"/>
                <w:szCs w:val="24"/>
              </w:rPr>
              <w:t>Сер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Икономически науки, 2017, 1, 126 - 139. 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Влияние на климатичните промени върху развитието на аграрния сектор - адаптация и мерки за смекчаване. Известия на Съюза на учените - Варна. </w:t>
            </w:r>
            <w:proofErr w:type="spellStart"/>
            <w:r w:rsidRPr="004B3C1A">
              <w:rPr>
                <w:i/>
                <w:sz w:val="24"/>
                <w:szCs w:val="24"/>
              </w:rPr>
              <w:t>Сер</w:t>
            </w:r>
            <w:proofErr w:type="spellEnd"/>
            <w:r w:rsidRPr="004B3C1A">
              <w:rPr>
                <w:i/>
                <w:sz w:val="24"/>
                <w:szCs w:val="24"/>
              </w:rPr>
              <w:t>. Икономически науки, 2017, 1, 111 - 125.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Управление на производствени риск в земеделието. Управление и устойчиво развитие = </w:t>
            </w:r>
            <w:proofErr w:type="spellStart"/>
            <w:r w:rsidRPr="004B3C1A">
              <w:rPr>
                <w:i/>
                <w:sz w:val="24"/>
                <w:szCs w:val="24"/>
              </w:rPr>
              <w:t>Management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and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Sustainable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Development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3C1A">
              <w:rPr>
                <w:i/>
                <w:sz w:val="24"/>
                <w:szCs w:val="24"/>
              </w:rPr>
              <w:t>Сер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Общество. Човек. Природа = </w:t>
            </w:r>
            <w:proofErr w:type="spellStart"/>
            <w:r w:rsidRPr="004B3C1A">
              <w:rPr>
                <w:i/>
                <w:sz w:val="24"/>
                <w:szCs w:val="24"/>
              </w:rPr>
              <w:t>Society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Man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Nature</w:t>
            </w:r>
            <w:proofErr w:type="spellEnd"/>
            <w:r w:rsidRPr="004B3C1A">
              <w:rPr>
                <w:i/>
                <w:sz w:val="24"/>
                <w:szCs w:val="24"/>
              </w:rPr>
              <w:t>. София, ЛТУ-София, Год. XV, 40, 2013, 3, 81-87.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Анализ на производствените структури в лозарството на България - аспекти на устойчивост. Управление и устойчиво развитие = </w:t>
            </w:r>
            <w:proofErr w:type="spellStart"/>
            <w:r w:rsidRPr="004B3C1A">
              <w:rPr>
                <w:i/>
                <w:sz w:val="24"/>
                <w:szCs w:val="24"/>
              </w:rPr>
              <w:t>Management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and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Sustainable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Development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3C1A">
              <w:rPr>
                <w:i/>
                <w:sz w:val="24"/>
                <w:szCs w:val="24"/>
              </w:rPr>
              <w:t>Сер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Общество. Човек. Природа = </w:t>
            </w:r>
            <w:proofErr w:type="spellStart"/>
            <w:r w:rsidRPr="004B3C1A">
              <w:rPr>
                <w:i/>
                <w:sz w:val="24"/>
                <w:szCs w:val="24"/>
              </w:rPr>
              <w:lastRenderedPageBreak/>
              <w:t>Society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Man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Nature</w:t>
            </w:r>
            <w:proofErr w:type="spellEnd"/>
            <w:r w:rsidRPr="004B3C1A">
              <w:rPr>
                <w:i/>
                <w:sz w:val="24"/>
                <w:szCs w:val="24"/>
              </w:rPr>
              <w:t>. София, ЛТУ-София, Год. XV, 40, 2013, 3, 70-74.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Екологична конкурентоспособност на селските райони. Изв. на Съюза на учените - Варна, 2, 2016, 191-202. 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</w:t>
            </w:r>
            <w:proofErr w:type="spellStart"/>
            <w:r w:rsidRPr="004B3C1A">
              <w:rPr>
                <w:i/>
                <w:sz w:val="24"/>
                <w:szCs w:val="24"/>
              </w:rPr>
              <w:t>Финасова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подкрепа на земеделието в земи с висока природна стойност. Изв. на Съюза на учените - Варна. </w:t>
            </w:r>
            <w:proofErr w:type="spellStart"/>
            <w:r w:rsidRPr="004B3C1A">
              <w:rPr>
                <w:i/>
                <w:sz w:val="24"/>
                <w:szCs w:val="24"/>
              </w:rPr>
              <w:t>Сер</w:t>
            </w:r>
            <w:proofErr w:type="spellEnd"/>
            <w:r w:rsidRPr="004B3C1A">
              <w:rPr>
                <w:i/>
                <w:sz w:val="24"/>
                <w:szCs w:val="24"/>
              </w:rPr>
              <w:t>. Икономически науки , 2015, с. 65 - 72.</w:t>
            </w:r>
          </w:p>
          <w:p w:rsidR="006755D4" w:rsidRPr="004B3C1A" w:rsidRDefault="006755D4" w:rsidP="006755D4">
            <w:pPr>
              <w:numPr>
                <w:ilvl w:val="0"/>
                <w:numId w:val="5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Устойчива интензификация на земеделието - предизвикателства пред Общата селскостопанска политика и възможности за България. Изв. на Съюза на учените - Варна. </w:t>
            </w:r>
            <w:proofErr w:type="spellStart"/>
            <w:r w:rsidRPr="004B3C1A">
              <w:rPr>
                <w:i/>
                <w:sz w:val="24"/>
                <w:szCs w:val="24"/>
              </w:rPr>
              <w:t>Сер</w:t>
            </w:r>
            <w:proofErr w:type="spellEnd"/>
            <w:r w:rsidRPr="004B3C1A">
              <w:rPr>
                <w:i/>
                <w:sz w:val="24"/>
                <w:szCs w:val="24"/>
              </w:rPr>
              <w:t>. Икономически науки , 2014, с. 52 - 62</w:t>
            </w:r>
          </w:p>
          <w:p w:rsidR="006755D4" w:rsidRPr="004B3C1A" w:rsidRDefault="006755D4" w:rsidP="006755D4">
            <w:pPr>
              <w:spacing w:after="0"/>
              <w:rPr>
                <w:i/>
                <w:sz w:val="24"/>
                <w:szCs w:val="24"/>
                <w:lang w:eastAsia="x-none"/>
              </w:rPr>
            </w:pPr>
          </w:p>
          <w:p w:rsidR="006755D4" w:rsidRPr="004B3C1A" w:rsidRDefault="006755D4" w:rsidP="006755D4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4B3C1A">
              <w:rPr>
                <w:b/>
                <w:i/>
                <w:sz w:val="24"/>
                <w:szCs w:val="24"/>
                <w:lang w:eastAsia="x-none"/>
              </w:rPr>
              <w:t>Доклади</w:t>
            </w:r>
            <w:r w:rsidRPr="004B3C1A">
              <w:rPr>
                <w:i/>
                <w:sz w:val="24"/>
                <w:szCs w:val="24"/>
                <w:lang w:eastAsia="x-none"/>
              </w:rPr>
              <w:t>:</w:t>
            </w:r>
            <w:r w:rsidRPr="004B3C1A">
              <w:rPr>
                <w:i/>
                <w:sz w:val="24"/>
                <w:szCs w:val="24"/>
              </w:rPr>
              <w:t xml:space="preserve"> </w:t>
            </w:r>
          </w:p>
          <w:p w:rsidR="004B3C1A" w:rsidRPr="004B3C1A" w:rsidRDefault="004B3C1A" w:rsidP="006755D4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Kirechev, D. </w:t>
            </w:r>
            <w:proofErr w:type="spellStart"/>
            <w:r w:rsidRPr="004B3C1A">
              <w:rPr>
                <w:i/>
                <w:sz w:val="24"/>
                <w:szCs w:val="24"/>
              </w:rPr>
              <w:t>Risk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Management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Mechanisms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in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Agricultural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Holdings </w:t>
            </w:r>
            <w:proofErr w:type="spellStart"/>
            <w:r w:rsidRPr="004B3C1A">
              <w:rPr>
                <w:i/>
                <w:sz w:val="24"/>
                <w:szCs w:val="24"/>
              </w:rPr>
              <w:t>in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Bulgaria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Leadership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and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Management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4B3C1A">
              <w:rPr>
                <w:i/>
                <w:sz w:val="24"/>
                <w:szCs w:val="24"/>
              </w:rPr>
              <w:t>Integrated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Politics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4B3C1A">
              <w:rPr>
                <w:i/>
                <w:sz w:val="24"/>
                <w:szCs w:val="24"/>
              </w:rPr>
              <w:t>Research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and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Innovations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: LIMEN 2018 : 4th International </w:t>
            </w:r>
            <w:proofErr w:type="spellStart"/>
            <w:r w:rsidRPr="004B3C1A">
              <w:rPr>
                <w:i/>
                <w:sz w:val="24"/>
                <w:szCs w:val="24"/>
              </w:rPr>
              <w:t>Scientific-business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Conference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(4; 2018; </w:t>
            </w:r>
            <w:proofErr w:type="spellStart"/>
            <w:r w:rsidRPr="004B3C1A">
              <w:rPr>
                <w:i/>
                <w:sz w:val="24"/>
                <w:szCs w:val="24"/>
              </w:rPr>
              <w:t>Beograd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) : </w:t>
            </w:r>
            <w:proofErr w:type="spellStart"/>
            <w:r w:rsidRPr="004B3C1A">
              <w:rPr>
                <w:i/>
                <w:sz w:val="24"/>
                <w:szCs w:val="24"/>
              </w:rPr>
              <w:t>Conference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Proceedings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3C1A">
              <w:rPr>
                <w:i/>
                <w:sz w:val="24"/>
                <w:szCs w:val="24"/>
              </w:rPr>
              <w:t>Belgrade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: </w:t>
            </w:r>
            <w:proofErr w:type="spellStart"/>
            <w:r w:rsidRPr="004B3C1A">
              <w:rPr>
                <w:i/>
                <w:sz w:val="24"/>
                <w:szCs w:val="24"/>
              </w:rPr>
              <w:t>Association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4B3C1A">
              <w:rPr>
                <w:i/>
                <w:sz w:val="24"/>
                <w:szCs w:val="24"/>
              </w:rPr>
              <w:t>Economists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and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Manager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4B3C1A">
              <w:rPr>
                <w:i/>
                <w:sz w:val="24"/>
                <w:szCs w:val="24"/>
              </w:rPr>
              <w:t>the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Balkans</w:t>
            </w:r>
            <w:proofErr w:type="spellEnd"/>
            <w:r w:rsidRPr="004B3C1A">
              <w:rPr>
                <w:i/>
                <w:sz w:val="24"/>
                <w:szCs w:val="24"/>
              </w:rPr>
              <w:t>, 2019, 597 - 602. - (</w:t>
            </w:r>
            <w:proofErr w:type="spellStart"/>
            <w:r w:rsidRPr="004B3C1A">
              <w:rPr>
                <w:i/>
                <w:sz w:val="24"/>
                <w:szCs w:val="24"/>
              </w:rPr>
              <w:t>Belgrade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: </w:t>
            </w:r>
            <w:proofErr w:type="spellStart"/>
            <w:r w:rsidRPr="004B3C1A">
              <w:rPr>
                <w:i/>
                <w:sz w:val="24"/>
                <w:szCs w:val="24"/>
              </w:rPr>
              <w:t>All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in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One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Print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3C1A">
              <w:rPr>
                <w:i/>
                <w:sz w:val="24"/>
                <w:szCs w:val="24"/>
              </w:rPr>
              <w:t>Center</w:t>
            </w:r>
            <w:proofErr w:type="spellEnd"/>
            <w:r w:rsidRPr="004B3C1A">
              <w:rPr>
                <w:i/>
                <w:sz w:val="24"/>
                <w:szCs w:val="24"/>
              </w:rPr>
              <w:t>).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>Киречев, Д. Организационни форми на предприятията от аграрния бизнес и влияние върху техните финанси. Правото и бизнесът в съвременното общество: Актуални правни предизвикателства в икономиката : Сборник с доклади от 1-ва Национална научна конференция, 9 ноември 2018, Варна : Наука и икономика, 2019, 185 - 197.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Анализ и оценка на организационно-управленските аспекти на инвестиционния процес в лозарските стопанства в България. Устойчиво развитие на лозаро-винарския сектор - </w:t>
            </w:r>
            <w:proofErr w:type="spellStart"/>
            <w:r w:rsidRPr="004B3C1A">
              <w:rPr>
                <w:i/>
                <w:sz w:val="24"/>
                <w:szCs w:val="24"/>
              </w:rPr>
              <w:t>предизвикатекства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и възможности за растеж : Сборник с доклади от Национална кръгла маса, 15 ноември 2018 г., Варна : Наука и икономика, 2018, с. 265 - 289.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Д., Стоянова, А. Институционална рамка и политика на подкрепа на лозаро-винарския сектор в България. Устойчиво развитие на лозаро-винарския сектор - </w:t>
            </w:r>
            <w:proofErr w:type="spellStart"/>
            <w:r w:rsidRPr="004B3C1A">
              <w:rPr>
                <w:i/>
                <w:sz w:val="24"/>
                <w:szCs w:val="24"/>
              </w:rPr>
              <w:t>предизвикатекства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и възможности за растеж : Сборник с доклади от Национална кръгла маса, 15 ноември 2018 г., Варна : Наука и икономика, 2018, 73 - 99.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Д., Николов, Р. Състояние и тенденции на продуктивното лозарство в България. Устойчиво развитие на лозаро-винарския сектор - </w:t>
            </w:r>
            <w:proofErr w:type="spellStart"/>
            <w:r w:rsidRPr="004B3C1A">
              <w:rPr>
                <w:i/>
                <w:sz w:val="24"/>
                <w:szCs w:val="24"/>
              </w:rPr>
              <w:t>предизвикатекства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и възможности за растеж : Сборник с доклади от Национална кръгла маса, 15 ноември 2018 г., Варна : Наука и икономика, 2018, с. 15 - 40.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Изследване екологичната конкурентоспособност на избрани типове селски райони в България. Регионална икономика и устойчиво развитие : Сборник с доклади от научна конференция, </w:t>
            </w:r>
            <w:proofErr w:type="spellStart"/>
            <w:r w:rsidRPr="004B3C1A">
              <w:rPr>
                <w:i/>
                <w:sz w:val="24"/>
                <w:szCs w:val="24"/>
              </w:rPr>
              <w:t>орг</w:t>
            </w:r>
            <w:proofErr w:type="spellEnd"/>
            <w:r w:rsidRPr="004B3C1A">
              <w:rPr>
                <w:i/>
                <w:sz w:val="24"/>
                <w:szCs w:val="24"/>
              </w:rPr>
              <w:t>. от НИИ при ИУ - Варна, 17 ноем. 2017 г., Варна : Наука и икономика, 2, 2018, 129 - 148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lastRenderedPageBreak/>
              <w:t xml:space="preserve">Киречев, Д. Развитие на "зеления" елемент на Общата селскостопанска политика - предизвикателства и възможности. </w:t>
            </w:r>
            <w:proofErr w:type="spellStart"/>
            <w:r w:rsidRPr="004B3C1A">
              <w:rPr>
                <w:i/>
                <w:sz w:val="24"/>
                <w:szCs w:val="24"/>
              </w:rPr>
              <w:t>Агробизнесът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 и селските райони - икономика, иновации и растеж: Сборник доклади, Варна: Наука и икономика, 2017, 243 - 265.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Георгиева, Т., Киречев, Д. Концептуална рамка за управление на риска във фермерските стопанства. Ролята на фамилния бизнес за устойчивото развитие на селските райони: Сб. </w:t>
            </w:r>
            <w:proofErr w:type="spellStart"/>
            <w:r w:rsidRPr="004B3C1A">
              <w:rPr>
                <w:i/>
                <w:sz w:val="24"/>
                <w:szCs w:val="24"/>
              </w:rPr>
              <w:t>докл</w:t>
            </w:r>
            <w:proofErr w:type="spellEnd"/>
            <w:r w:rsidRPr="004B3C1A">
              <w:rPr>
                <w:i/>
                <w:sz w:val="24"/>
                <w:szCs w:val="24"/>
              </w:rPr>
              <w:t>. от научна конференция, Пловдив: Акад. изд. на АУ, 2017, 107-117.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Финансиране на земеделието в земи по Натура 2000 - възможности и предизвикателства. Икономиката в променящия се свят: национални, регионални и глобални измерения: </w:t>
            </w:r>
            <w:proofErr w:type="spellStart"/>
            <w:r w:rsidRPr="004B3C1A">
              <w:rPr>
                <w:i/>
                <w:sz w:val="24"/>
                <w:szCs w:val="24"/>
              </w:rPr>
              <w:t>Науч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конф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с </w:t>
            </w:r>
            <w:proofErr w:type="spellStart"/>
            <w:r w:rsidRPr="004B3C1A">
              <w:rPr>
                <w:i/>
                <w:sz w:val="24"/>
                <w:szCs w:val="24"/>
              </w:rPr>
              <w:t>междунар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участие: Сб. </w:t>
            </w:r>
            <w:proofErr w:type="spellStart"/>
            <w:r w:rsidRPr="004B3C1A">
              <w:rPr>
                <w:i/>
                <w:sz w:val="24"/>
                <w:szCs w:val="24"/>
              </w:rPr>
              <w:t>докл</w:t>
            </w:r>
            <w:proofErr w:type="spellEnd"/>
            <w:r w:rsidRPr="004B3C1A">
              <w:rPr>
                <w:i/>
                <w:sz w:val="24"/>
                <w:szCs w:val="24"/>
              </w:rPr>
              <w:t>., 15 май 2015: Т. 4, Варна: Наука и икономика, 2015, 102-112.</w:t>
            </w:r>
          </w:p>
          <w:p w:rsidR="006755D4" w:rsidRPr="004B3C1A" w:rsidRDefault="006755D4" w:rsidP="006755D4">
            <w:pPr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Управление на пазарния риск в агробизнеса. // Националният аграрен сектор - елемент на европейските земеделски региони в стратегията "Европа 2020" : </w:t>
            </w:r>
            <w:proofErr w:type="spellStart"/>
            <w:r w:rsidRPr="004B3C1A">
              <w:rPr>
                <w:i/>
                <w:sz w:val="24"/>
                <w:szCs w:val="24"/>
              </w:rPr>
              <w:t>Юбил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науч</w:t>
            </w:r>
            <w:proofErr w:type="spellEnd"/>
            <w:r w:rsidRPr="004B3C1A">
              <w:rPr>
                <w:i/>
                <w:sz w:val="24"/>
                <w:szCs w:val="24"/>
              </w:rPr>
              <w:t>.-</w:t>
            </w:r>
            <w:proofErr w:type="spellStart"/>
            <w:r w:rsidRPr="004B3C1A">
              <w:rPr>
                <w:i/>
                <w:sz w:val="24"/>
                <w:szCs w:val="24"/>
              </w:rPr>
              <w:t>практ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B3C1A">
              <w:rPr>
                <w:i/>
                <w:sz w:val="24"/>
                <w:szCs w:val="24"/>
              </w:rPr>
              <w:t>конф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с </w:t>
            </w:r>
            <w:proofErr w:type="spellStart"/>
            <w:r w:rsidRPr="004B3C1A">
              <w:rPr>
                <w:i/>
                <w:sz w:val="24"/>
                <w:szCs w:val="24"/>
              </w:rPr>
              <w:t>междунар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участие : Сб. </w:t>
            </w:r>
            <w:proofErr w:type="spellStart"/>
            <w:r w:rsidRPr="004B3C1A">
              <w:rPr>
                <w:i/>
                <w:sz w:val="24"/>
                <w:szCs w:val="24"/>
              </w:rPr>
              <w:t>докл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., 6 - 7 ноем. 2014 : Т. 2. - Свищов : Акад. изд. </w:t>
            </w:r>
            <w:proofErr w:type="spellStart"/>
            <w:r w:rsidRPr="004B3C1A">
              <w:rPr>
                <w:i/>
                <w:sz w:val="24"/>
                <w:szCs w:val="24"/>
              </w:rPr>
              <w:t>Ценов</w:t>
            </w:r>
            <w:proofErr w:type="spellEnd"/>
            <w:r w:rsidRPr="004B3C1A">
              <w:rPr>
                <w:i/>
                <w:sz w:val="24"/>
                <w:szCs w:val="24"/>
              </w:rPr>
              <w:t>, 2014, с. 89 - 94.</w:t>
            </w:r>
          </w:p>
          <w:p w:rsidR="006755D4" w:rsidRPr="004B3C1A" w:rsidRDefault="006755D4" w:rsidP="006755D4">
            <w:pPr>
              <w:spacing w:after="0"/>
              <w:rPr>
                <w:i/>
                <w:sz w:val="24"/>
                <w:szCs w:val="24"/>
                <w:lang w:eastAsia="x-none"/>
              </w:rPr>
            </w:pPr>
          </w:p>
          <w:p w:rsidR="006755D4" w:rsidRPr="004B3C1A" w:rsidRDefault="006755D4" w:rsidP="006755D4">
            <w:pPr>
              <w:spacing w:after="0"/>
              <w:rPr>
                <w:i/>
                <w:sz w:val="24"/>
                <w:szCs w:val="24"/>
                <w:lang w:val="en-US" w:eastAsia="x-none"/>
              </w:rPr>
            </w:pPr>
            <w:r w:rsidRPr="004B3C1A">
              <w:rPr>
                <w:b/>
                <w:i/>
                <w:sz w:val="24"/>
                <w:szCs w:val="24"/>
                <w:lang w:eastAsia="x-none"/>
              </w:rPr>
              <w:t>Други</w:t>
            </w:r>
            <w:r w:rsidRPr="004B3C1A">
              <w:rPr>
                <w:i/>
                <w:sz w:val="24"/>
                <w:szCs w:val="24"/>
                <w:lang w:eastAsia="x-none"/>
              </w:rPr>
              <w:t>:</w:t>
            </w:r>
          </w:p>
          <w:p w:rsidR="004B3C1A" w:rsidRPr="004B3C1A" w:rsidRDefault="004B3C1A" w:rsidP="006755D4">
            <w:pPr>
              <w:spacing w:after="0"/>
              <w:rPr>
                <w:i/>
                <w:sz w:val="24"/>
                <w:szCs w:val="24"/>
                <w:lang w:val="en-US" w:eastAsia="x-none"/>
              </w:rPr>
            </w:pPr>
            <w:bookmarkStart w:id="0" w:name="_GoBack"/>
            <w:bookmarkEnd w:id="0"/>
          </w:p>
          <w:p w:rsidR="006755D4" w:rsidRPr="004B3C1A" w:rsidRDefault="006755D4" w:rsidP="006755D4">
            <w:pPr>
              <w:numPr>
                <w:ilvl w:val="0"/>
                <w:numId w:val="6"/>
              </w:numPr>
              <w:spacing w:after="0"/>
              <w:rPr>
                <w:i/>
                <w:sz w:val="24"/>
                <w:szCs w:val="24"/>
              </w:rPr>
            </w:pPr>
            <w:r w:rsidRPr="004B3C1A">
              <w:rPr>
                <w:i/>
                <w:sz w:val="24"/>
                <w:szCs w:val="24"/>
              </w:rPr>
              <w:t xml:space="preserve">Николов, Р., Киречев, Д. Основи на земеделието и механизацията. - Варна : </w:t>
            </w:r>
            <w:proofErr w:type="spellStart"/>
            <w:r w:rsidRPr="004B3C1A">
              <w:rPr>
                <w:i/>
                <w:sz w:val="24"/>
                <w:szCs w:val="24"/>
              </w:rPr>
              <w:t>Унив</w:t>
            </w:r>
            <w:proofErr w:type="spellEnd"/>
            <w:r w:rsidRPr="004B3C1A">
              <w:rPr>
                <w:i/>
                <w:sz w:val="24"/>
                <w:szCs w:val="24"/>
              </w:rPr>
              <w:t xml:space="preserve">. изд. Наука и икономика, 2014. - 484 с. : с табл., </w:t>
            </w:r>
            <w:proofErr w:type="spellStart"/>
            <w:r w:rsidRPr="004B3C1A">
              <w:rPr>
                <w:i/>
                <w:sz w:val="24"/>
                <w:szCs w:val="24"/>
              </w:rPr>
              <w:t>диагр</w:t>
            </w:r>
            <w:proofErr w:type="spellEnd"/>
            <w:r w:rsidRPr="004B3C1A">
              <w:rPr>
                <w:i/>
                <w:sz w:val="24"/>
                <w:szCs w:val="24"/>
              </w:rPr>
              <w:t>.</w:t>
            </w:r>
          </w:p>
          <w:p w:rsidR="006755D4" w:rsidRPr="004B3C1A" w:rsidRDefault="006755D4" w:rsidP="006755D4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Технологии в животновъдството. - Варна : </w:t>
            </w:r>
            <w:proofErr w:type="spellStart"/>
            <w:r w:rsidRPr="004B3C1A">
              <w:rPr>
                <w:i/>
                <w:sz w:val="24"/>
                <w:szCs w:val="24"/>
              </w:rPr>
              <w:t>Унив</w:t>
            </w:r>
            <w:proofErr w:type="spellEnd"/>
            <w:r w:rsidRPr="004B3C1A">
              <w:rPr>
                <w:i/>
                <w:sz w:val="24"/>
                <w:szCs w:val="24"/>
              </w:rPr>
              <w:t>. изд. Наука и икономика, 2013. - 493 с.</w:t>
            </w:r>
          </w:p>
          <w:p w:rsidR="00E45EDB" w:rsidRPr="004B3C1A" w:rsidRDefault="006755D4" w:rsidP="006755D4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eastAsia="x-none"/>
              </w:rPr>
            </w:pPr>
            <w:r w:rsidRPr="004B3C1A">
              <w:rPr>
                <w:i/>
                <w:sz w:val="24"/>
                <w:szCs w:val="24"/>
              </w:rPr>
              <w:t xml:space="preserve">Киречев, Д. Технологии в растениевъдството. - Варна : </w:t>
            </w:r>
            <w:proofErr w:type="spellStart"/>
            <w:r w:rsidRPr="004B3C1A">
              <w:rPr>
                <w:i/>
                <w:sz w:val="24"/>
                <w:szCs w:val="24"/>
              </w:rPr>
              <w:t>Унив</w:t>
            </w:r>
            <w:proofErr w:type="spellEnd"/>
            <w:r w:rsidRPr="004B3C1A">
              <w:rPr>
                <w:i/>
                <w:sz w:val="24"/>
                <w:szCs w:val="24"/>
              </w:rPr>
              <w:t>. изд. Наука и икономика, 2012. - 332 с.</w:t>
            </w:r>
          </w:p>
          <w:p w:rsidR="00E45EDB" w:rsidRPr="004B3C1A" w:rsidRDefault="00E45EDB" w:rsidP="00E45EDB">
            <w:pPr>
              <w:spacing w:after="0"/>
              <w:rPr>
                <w:sz w:val="24"/>
                <w:szCs w:val="24"/>
                <w:lang w:eastAsia="x-none"/>
              </w:rPr>
            </w:pPr>
          </w:p>
          <w:p w:rsidR="00E45EDB" w:rsidRPr="00894F7F" w:rsidRDefault="00E45EDB" w:rsidP="00E45EDB">
            <w:pPr>
              <w:spacing w:after="0"/>
              <w:rPr>
                <w:sz w:val="24"/>
                <w:szCs w:val="24"/>
                <w:lang w:eastAsia="x-none"/>
              </w:rPr>
            </w:pPr>
          </w:p>
        </w:tc>
      </w:tr>
    </w:tbl>
    <w:p w:rsidR="00E45EDB" w:rsidRDefault="00E45EDB" w:rsidP="00E45EDB">
      <w:pPr>
        <w:rPr>
          <w:lang w:eastAsia="x-none"/>
        </w:rPr>
      </w:pPr>
      <w:r>
        <w:rPr>
          <w:lang w:eastAsia="x-none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45EDB" w:rsidRPr="00894F7F" w:rsidTr="006755D4">
        <w:tc>
          <w:tcPr>
            <w:tcW w:w="9288" w:type="dxa"/>
          </w:tcPr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lastRenderedPageBreak/>
              <w:t>Адрес на електронна поща за регистрацията в базата данни на ФНИ</w:t>
            </w:r>
            <w:r w:rsidRPr="00894F7F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E45EDB" w:rsidRPr="00894F7F" w:rsidTr="006755D4">
        <w:tc>
          <w:tcPr>
            <w:tcW w:w="9288" w:type="dxa"/>
          </w:tcPr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E45EDB" w:rsidRPr="00894F7F" w:rsidTr="006755D4">
        <w:tc>
          <w:tcPr>
            <w:tcW w:w="9288" w:type="dxa"/>
          </w:tcPr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i/>
                <w:color w:val="0070C0"/>
                <w:sz w:val="24"/>
                <w:szCs w:val="24"/>
              </w:rPr>
              <w:t>Участие в проекти, финансирани от ФНИ</w:t>
            </w:r>
            <w:r w:rsidRPr="00894F7F">
              <w:rPr>
                <w:b/>
                <w:i/>
                <w:color w:val="0070C0"/>
                <w:sz w:val="24"/>
                <w:szCs w:val="24"/>
                <w:lang w:val="en-US"/>
              </w:rPr>
              <w:t>,</w:t>
            </w:r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 през последните </w:t>
            </w:r>
            <w:r w:rsidRPr="00894F7F">
              <w:rPr>
                <w:b/>
                <w:i/>
                <w:color w:val="0070C0"/>
                <w:sz w:val="24"/>
                <w:szCs w:val="24"/>
                <w:lang w:val="en-US"/>
              </w:rPr>
              <w:t>5</w:t>
            </w:r>
            <w:r w:rsidRPr="00894F7F">
              <w:rPr>
                <w:b/>
                <w:i/>
                <w:color w:val="0070C0"/>
                <w:sz w:val="24"/>
                <w:szCs w:val="24"/>
              </w:rPr>
              <w:t xml:space="preserve"> години</w:t>
            </w:r>
            <w:r w:rsidRPr="00894F7F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E45EDB" w:rsidRPr="00894F7F" w:rsidTr="006755D4">
        <w:tc>
          <w:tcPr>
            <w:tcW w:w="9288" w:type="dxa"/>
          </w:tcPr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Конкурс (тип на конкурса и година):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Номер и дата на подписване на договора: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Тема: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Ръководител на проекта: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Статус на проекта:</w:t>
            </w:r>
            <w:r w:rsidRPr="00894F7F">
              <w:rPr>
                <w:sz w:val="24"/>
                <w:szCs w:val="24"/>
              </w:rPr>
              <w:t xml:space="preserve"> (текущ, с предаден отчет на етап или краен отчет, приключил)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Оценка за изпълнението на проекта (за приключи проекти):</w:t>
            </w:r>
          </w:p>
        </w:tc>
      </w:tr>
      <w:tr w:rsidR="00E45EDB" w:rsidRPr="00894F7F" w:rsidTr="006755D4">
        <w:tc>
          <w:tcPr>
            <w:tcW w:w="9288" w:type="dxa"/>
            <w:tcBorders>
              <w:bottom w:val="single" w:sz="4" w:space="0" w:color="auto"/>
            </w:tcBorders>
          </w:tcPr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Конкурс (тип на конкурса и година):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Номер и дата на подписване на договора: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Тема: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Ръководител на проекта: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Статус на проекта:</w:t>
            </w:r>
            <w:r w:rsidRPr="00894F7F">
              <w:rPr>
                <w:sz w:val="24"/>
                <w:szCs w:val="24"/>
              </w:rPr>
              <w:t xml:space="preserve"> (текущ, с предаден отчет на етап или краен отчет, приключил)</w:t>
            </w:r>
          </w:p>
          <w:p w:rsidR="00E45EDB" w:rsidRPr="00894F7F" w:rsidRDefault="00E45EDB" w:rsidP="00E45ED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894F7F">
              <w:rPr>
                <w:b/>
                <w:color w:val="0070C0"/>
                <w:sz w:val="24"/>
                <w:szCs w:val="24"/>
              </w:rPr>
              <w:t>Оценка за изпълнението на проекта (за приключи проекти):</w:t>
            </w:r>
          </w:p>
        </w:tc>
      </w:tr>
      <w:tr w:rsidR="00E45EDB" w:rsidRPr="00894F7F" w:rsidTr="006755D4">
        <w:tc>
          <w:tcPr>
            <w:tcW w:w="9288" w:type="dxa"/>
            <w:tcBorders>
              <w:left w:val="nil"/>
              <w:bottom w:val="single" w:sz="4" w:space="0" w:color="auto"/>
              <w:right w:val="nil"/>
            </w:tcBorders>
          </w:tcPr>
          <w:p w:rsidR="00E45EDB" w:rsidRPr="00894F7F" w:rsidRDefault="00E45EDB" w:rsidP="00E45ED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</w:p>
        </w:tc>
      </w:tr>
      <w:tr w:rsidR="006755D4" w:rsidRPr="009D45FD" w:rsidTr="006755D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9D45FD">
              <w:rPr>
                <w:b/>
                <w:i/>
                <w:color w:val="0070C0"/>
                <w:sz w:val="24"/>
                <w:szCs w:val="24"/>
                <w:lang w:eastAsia="x-none"/>
              </w:rPr>
              <w:t>Участие в п</w:t>
            </w:r>
            <w:r>
              <w:rPr>
                <w:b/>
                <w:i/>
                <w:color w:val="0070C0"/>
                <w:sz w:val="24"/>
                <w:szCs w:val="24"/>
                <w:lang w:eastAsia="x-none"/>
              </w:rPr>
              <w:t>роекти, финансирани от други изт</w:t>
            </w:r>
            <w:r w:rsidRPr="009D45FD">
              <w:rPr>
                <w:b/>
                <w:i/>
                <w:color w:val="0070C0"/>
                <w:sz w:val="24"/>
                <w:szCs w:val="24"/>
                <w:lang w:eastAsia="x-none"/>
              </w:rPr>
              <w:t>очници</w:t>
            </w: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, </w:t>
            </w:r>
            <w:r w:rsidRPr="009D45FD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през последните </w:t>
            </w: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5</w:t>
            </w:r>
            <w:r w:rsidRPr="009D45FD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 години</w:t>
            </w:r>
          </w:p>
        </w:tc>
      </w:tr>
      <w:tr w:rsidR="006755D4" w:rsidRPr="009D45FD" w:rsidTr="006755D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Финансираща организация: Икономически университет - Варна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Тип на конкурса и година: изследователски, 2013-2015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Номер или </w:t>
            </w:r>
            <w:proofErr w:type="spellStart"/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акроним</w:t>
            </w:r>
            <w:proofErr w:type="spellEnd"/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 на проекта: НП-89 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Тема: Конкурентоспособност на селските райони - състояние и възможност за повишаването й.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Ръководител на проекта: доц. д-р Мария Станимирова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Статус на проекта: </w:t>
            </w:r>
            <w:r w:rsidRPr="006755D4">
              <w:rPr>
                <w:b/>
                <w:i/>
                <w:sz w:val="24"/>
                <w:szCs w:val="24"/>
                <w:lang w:eastAsia="x-none"/>
              </w:rPr>
              <w:t>(приключил)</w:t>
            </w:r>
          </w:p>
        </w:tc>
      </w:tr>
      <w:tr w:rsidR="006755D4" w:rsidRPr="009D45FD" w:rsidTr="006755D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Финансираща организация: Икономически университет - Варна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Тип на конкурса и година: Изследователски, 2017-2019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Номер или </w:t>
            </w:r>
            <w:proofErr w:type="spellStart"/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акроним</w:t>
            </w:r>
            <w:proofErr w:type="spellEnd"/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 на проекта: НПИ-14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Тема: </w:t>
            </w:r>
            <w:r w:rsidR="004B3C1A">
              <w:rPr>
                <w:b/>
                <w:i/>
                <w:color w:val="0070C0"/>
                <w:sz w:val="24"/>
                <w:szCs w:val="24"/>
                <w:lang w:eastAsia="x-none"/>
              </w:rPr>
              <w:t>И</w:t>
            </w: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кономически ефекти от управлението на риска в Р. България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>Ръководител на проекта: доц. д-р Таня Георгиева</w:t>
            </w:r>
          </w:p>
          <w:p w:rsidR="006755D4" w:rsidRPr="006755D4" w:rsidRDefault="006755D4" w:rsidP="0073649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x-none"/>
              </w:rPr>
            </w:pPr>
            <w:r w:rsidRPr="006755D4">
              <w:rPr>
                <w:b/>
                <w:i/>
                <w:color w:val="0070C0"/>
                <w:sz w:val="24"/>
                <w:szCs w:val="24"/>
                <w:lang w:eastAsia="x-none"/>
              </w:rPr>
              <w:t xml:space="preserve">Статус на проекта: </w:t>
            </w:r>
            <w:r w:rsidRPr="006755D4">
              <w:rPr>
                <w:b/>
                <w:i/>
                <w:sz w:val="24"/>
                <w:szCs w:val="24"/>
                <w:lang w:eastAsia="x-none"/>
              </w:rPr>
              <w:t>(текущ)</w:t>
            </w:r>
          </w:p>
        </w:tc>
      </w:tr>
    </w:tbl>
    <w:p w:rsidR="001742D7" w:rsidRDefault="001742D7"/>
    <w:sectPr w:rsidR="001742D7" w:rsidSect="0017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DD1"/>
    <w:multiLevelType w:val="hybridMultilevel"/>
    <w:tmpl w:val="F22AF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3895"/>
    <w:multiLevelType w:val="hybridMultilevel"/>
    <w:tmpl w:val="F78C4170"/>
    <w:lvl w:ilvl="0" w:tplc="94AA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7BA4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5B4085B"/>
    <w:multiLevelType w:val="hybridMultilevel"/>
    <w:tmpl w:val="55E825CE"/>
    <w:lvl w:ilvl="0" w:tplc="94AA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1686B"/>
    <w:multiLevelType w:val="multilevel"/>
    <w:tmpl w:val="5616D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790030"/>
    <w:multiLevelType w:val="hybridMultilevel"/>
    <w:tmpl w:val="FA401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B"/>
    <w:rsid w:val="001742D7"/>
    <w:rsid w:val="00367D07"/>
    <w:rsid w:val="00491808"/>
    <w:rsid w:val="004B3C1A"/>
    <w:rsid w:val="004C7B1C"/>
    <w:rsid w:val="005C4B63"/>
    <w:rsid w:val="00606710"/>
    <w:rsid w:val="00641C97"/>
    <w:rsid w:val="006755D4"/>
    <w:rsid w:val="00DF306D"/>
    <w:rsid w:val="00E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D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ED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9"/>
    <w:qFormat/>
    <w:rsid w:val="00E45ED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45EDB"/>
    <w:pPr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eastAsia="Times New Roman"/>
      <w:bCs/>
      <w:i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EDB"/>
    <w:pPr>
      <w:keepLines/>
      <w:numPr>
        <w:ilvl w:val="4"/>
        <w:numId w:val="1"/>
      </w:numPr>
      <w:spacing w:before="40" w:after="40" w:line="240" w:lineRule="auto"/>
      <w:jc w:val="both"/>
      <w:outlineLvl w:val="4"/>
    </w:pPr>
    <w:rPr>
      <w:rFonts w:eastAsia="Times New Roman"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EDB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eastAsia="Times New Roman"/>
      <w:bCs/>
      <w:iCs/>
      <w:sz w:val="24"/>
      <w:szCs w:val="24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5ED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EDB"/>
    <w:pPr>
      <w:keepLines/>
      <w:numPr>
        <w:ilvl w:val="7"/>
        <w:numId w:val="1"/>
      </w:numPr>
      <w:spacing w:before="40" w:after="40" w:line="240" w:lineRule="auto"/>
      <w:jc w:val="both"/>
      <w:outlineLvl w:val="7"/>
    </w:pPr>
    <w:rPr>
      <w:rFonts w:eastAsia="Times New Roman"/>
      <w:sz w:val="24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5EDB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eastAsia="Times New Roman"/>
      <w:i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5E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45E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rsid w:val="00E45EDB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uiPriority w:val="99"/>
    <w:rsid w:val="00E45EDB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9"/>
    <w:rsid w:val="00E45ED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9"/>
    <w:rsid w:val="00E45EDB"/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character" w:customStyle="1" w:styleId="Heading7Char">
    <w:name w:val="Heading 7 Char"/>
    <w:link w:val="Heading7"/>
    <w:uiPriority w:val="9"/>
    <w:rsid w:val="00E45ED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rsid w:val="00E45EDB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Heading9Char">
    <w:name w:val="Heading 9 Char"/>
    <w:link w:val="Heading9"/>
    <w:uiPriority w:val="99"/>
    <w:rsid w:val="00E45EDB"/>
    <w:rPr>
      <w:rFonts w:ascii="Calibri" w:eastAsia="Times New Roman" w:hAnsi="Calibri" w:cs="Times New Roman"/>
      <w:iCs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45EDB"/>
    <w:pPr>
      <w:autoSpaceDE w:val="0"/>
      <w:autoSpaceDN w:val="0"/>
      <w:adjustRightInd w:val="0"/>
      <w:spacing w:before="60" w:after="60" w:line="259" w:lineRule="auto"/>
      <w:ind w:left="720" w:firstLine="708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675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D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ED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9"/>
    <w:qFormat/>
    <w:rsid w:val="00E45ED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45EDB"/>
    <w:pPr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eastAsia="Times New Roman"/>
      <w:bCs/>
      <w:i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EDB"/>
    <w:pPr>
      <w:keepLines/>
      <w:numPr>
        <w:ilvl w:val="4"/>
        <w:numId w:val="1"/>
      </w:numPr>
      <w:spacing w:before="40" w:after="40" w:line="240" w:lineRule="auto"/>
      <w:jc w:val="both"/>
      <w:outlineLvl w:val="4"/>
    </w:pPr>
    <w:rPr>
      <w:rFonts w:eastAsia="Times New Roman"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EDB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eastAsia="Times New Roman"/>
      <w:bCs/>
      <w:iCs/>
      <w:sz w:val="24"/>
      <w:szCs w:val="24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5ED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EDB"/>
    <w:pPr>
      <w:keepLines/>
      <w:numPr>
        <w:ilvl w:val="7"/>
        <w:numId w:val="1"/>
      </w:numPr>
      <w:spacing w:before="40" w:after="40" w:line="240" w:lineRule="auto"/>
      <w:jc w:val="both"/>
      <w:outlineLvl w:val="7"/>
    </w:pPr>
    <w:rPr>
      <w:rFonts w:eastAsia="Times New Roman"/>
      <w:sz w:val="24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5EDB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eastAsia="Times New Roman"/>
      <w:i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5E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45E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rsid w:val="00E45EDB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uiPriority w:val="99"/>
    <w:rsid w:val="00E45EDB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9"/>
    <w:rsid w:val="00E45ED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9"/>
    <w:rsid w:val="00E45EDB"/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character" w:customStyle="1" w:styleId="Heading7Char">
    <w:name w:val="Heading 7 Char"/>
    <w:link w:val="Heading7"/>
    <w:uiPriority w:val="9"/>
    <w:rsid w:val="00E45ED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rsid w:val="00E45EDB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Heading9Char">
    <w:name w:val="Heading 9 Char"/>
    <w:link w:val="Heading9"/>
    <w:uiPriority w:val="99"/>
    <w:rsid w:val="00E45EDB"/>
    <w:rPr>
      <w:rFonts w:ascii="Calibri" w:eastAsia="Times New Roman" w:hAnsi="Calibri" w:cs="Times New Roman"/>
      <w:iCs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45EDB"/>
    <w:pPr>
      <w:autoSpaceDE w:val="0"/>
      <w:autoSpaceDN w:val="0"/>
      <w:adjustRightInd w:val="0"/>
      <w:spacing w:before="60" w:after="60" w:line="259" w:lineRule="auto"/>
      <w:ind w:left="720" w:firstLine="708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67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Damyan_Kireche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bg/citations?user=lK1GkKYAAAAJ&amp;hl=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ue-varna.bg/list-author/a1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DAMYAN KIRECHEV</cp:lastModifiedBy>
  <cp:revision>6</cp:revision>
  <dcterms:created xsi:type="dcterms:W3CDTF">2019-09-23T09:46:00Z</dcterms:created>
  <dcterms:modified xsi:type="dcterms:W3CDTF">2019-09-23T10:30:00Z</dcterms:modified>
</cp:coreProperties>
</file>